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5A7D4" w14:textId="28A83E5D" w:rsidR="00EC7B9F" w:rsidRDefault="00EC7B9F" w:rsidP="00D33867">
      <w:pPr>
        <w:jc w:val="center"/>
        <w:rPr>
          <w:rFonts w:ascii="Arial" w:hAnsi="Arial" w:cs="Arial"/>
        </w:rPr>
      </w:pPr>
    </w:p>
    <w:p w14:paraId="70B7DF67" w14:textId="77777777" w:rsidR="003217FA" w:rsidRDefault="003217FA" w:rsidP="0091206B">
      <w:pPr>
        <w:pStyle w:val="NoSpacing"/>
        <w:spacing w:line="264" w:lineRule="auto"/>
        <w:rPr>
          <w:rFonts w:ascii="Arial" w:hAnsi="Arial" w:cs="Arial"/>
          <w:b/>
          <w:bCs/>
          <w:sz w:val="28"/>
          <w:szCs w:val="28"/>
        </w:rPr>
      </w:pPr>
      <w:r>
        <w:rPr>
          <w:rFonts w:ascii="Arial" w:hAnsi="Arial" w:cs="Arial"/>
          <w:b/>
          <w:bCs/>
          <w:sz w:val="28"/>
          <w:szCs w:val="28"/>
        </w:rPr>
        <w:t>TSC Alliance</w:t>
      </w:r>
    </w:p>
    <w:p w14:paraId="1ED5931F" w14:textId="50F561DB" w:rsidR="00D33867" w:rsidRPr="0091206B" w:rsidRDefault="00D33867" w:rsidP="0091206B">
      <w:pPr>
        <w:pStyle w:val="NoSpacing"/>
        <w:spacing w:line="264" w:lineRule="auto"/>
        <w:rPr>
          <w:rFonts w:ascii="Arial" w:hAnsi="Arial" w:cs="Arial"/>
          <w:b/>
          <w:bCs/>
          <w:sz w:val="28"/>
          <w:szCs w:val="28"/>
        </w:rPr>
      </w:pPr>
      <w:r w:rsidRPr="0091206B">
        <w:rPr>
          <w:rFonts w:ascii="Arial" w:hAnsi="Arial" w:cs="Arial"/>
          <w:b/>
          <w:bCs/>
          <w:sz w:val="28"/>
          <w:szCs w:val="28"/>
        </w:rPr>
        <w:t>Campaign Counting Policy</w:t>
      </w:r>
    </w:p>
    <w:p w14:paraId="1A563CF2" w14:textId="77777777" w:rsidR="001B2D8B" w:rsidRPr="001B2D8B" w:rsidRDefault="00711CB3" w:rsidP="00711CB3">
      <w:pPr>
        <w:pStyle w:val="NoSpacing"/>
        <w:spacing w:line="264" w:lineRule="auto"/>
        <w:rPr>
          <w:rFonts w:ascii="Arial" w:hAnsi="Arial" w:cs="Arial"/>
          <w:i/>
          <w:iCs/>
        </w:rPr>
      </w:pPr>
      <w:r w:rsidRPr="001B2D8B">
        <w:rPr>
          <w:rFonts w:ascii="Arial" w:hAnsi="Arial" w:cs="Arial"/>
          <w:i/>
          <w:iCs/>
        </w:rPr>
        <w:t>Approved by TSC Alliance Board of Directors</w:t>
      </w:r>
      <w:r w:rsidRPr="001B2D8B">
        <w:rPr>
          <w:rFonts w:ascii="Arial" w:hAnsi="Arial" w:cs="Arial"/>
          <w:i/>
          <w:iCs/>
        </w:rPr>
        <w:t xml:space="preserve"> and Endowment Fund</w:t>
      </w:r>
      <w:r w:rsidR="001B2D8B" w:rsidRPr="001B2D8B">
        <w:rPr>
          <w:rFonts w:ascii="Arial" w:hAnsi="Arial" w:cs="Arial"/>
          <w:i/>
          <w:iCs/>
        </w:rPr>
        <w:t xml:space="preserve"> Board of Directors</w:t>
      </w:r>
      <w:r w:rsidRPr="001B2D8B">
        <w:rPr>
          <w:rFonts w:ascii="Arial" w:hAnsi="Arial" w:cs="Arial"/>
          <w:i/>
          <w:iCs/>
        </w:rPr>
        <w:t xml:space="preserve">: March 5, 2020 </w:t>
      </w:r>
    </w:p>
    <w:p w14:paraId="550EEAEB" w14:textId="0D7D4895" w:rsidR="00A61781" w:rsidRPr="001B2D8B" w:rsidRDefault="00A61781" w:rsidP="00711CB3">
      <w:pPr>
        <w:pStyle w:val="NoSpacing"/>
        <w:spacing w:line="264" w:lineRule="auto"/>
        <w:rPr>
          <w:rFonts w:ascii="Arial" w:hAnsi="Arial" w:cs="Arial"/>
          <w:i/>
          <w:iCs/>
        </w:rPr>
      </w:pPr>
      <w:r w:rsidRPr="001B2D8B">
        <w:rPr>
          <w:rFonts w:ascii="Arial" w:hAnsi="Arial" w:cs="Arial"/>
          <w:i/>
          <w:iCs/>
        </w:rPr>
        <w:t>R</w:t>
      </w:r>
      <w:r w:rsidR="00711CB3" w:rsidRPr="001B2D8B">
        <w:rPr>
          <w:rFonts w:ascii="Arial" w:hAnsi="Arial" w:cs="Arial"/>
          <w:i/>
          <w:iCs/>
        </w:rPr>
        <w:t>evisions approved October 8, 2021</w:t>
      </w:r>
    </w:p>
    <w:p w14:paraId="5C632DA3" w14:textId="4D9A5CEA" w:rsidR="00711CB3" w:rsidRPr="001B2D8B" w:rsidRDefault="00A61781" w:rsidP="00711CB3">
      <w:pPr>
        <w:pStyle w:val="NoSpacing"/>
        <w:spacing w:line="264" w:lineRule="auto"/>
        <w:rPr>
          <w:rFonts w:ascii="Arial" w:hAnsi="Arial" w:cs="Arial"/>
          <w:i/>
          <w:iCs/>
          <w:u w:val="single"/>
        </w:rPr>
      </w:pPr>
      <w:r w:rsidRPr="001B2D8B">
        <w:rPr>
          <w:rFonts w:ascii="Arial" w:hAnsi="Arial" w:cs="Arial"/>
          <w:i/>
          <w:iCs/>
        </w:rPr>
        <w:t xml:space="preserve">Updates </w:t>
      </w:r>
      <w:r w:rsidR="00711CB3" w:rsidRPr="001B2D8B">
        <w:rPr>
          <w:rFonts w:ascii="Arial" w:hAnsi="Arial" w:cs="Arial"/>
          <w:i/>
          <w:iCs/>
        </w:rPr>
        <w:t xml:space="preserve">Approved by TSC Alliance </w:t>
      </w:r>
      <w:r w:rsidR="001B2D8B" w:rsidRPr="001B2D8B">
        <w:rPr>
          <w:rFonts w:ascii="Arial" w:hAnsi="Arial" w:cs="Arial"/>
          <w:i/>
          <w:iCs/>
        </w:rPr>
        <w:t xml:space="preserve">Board of Directors and </w:t>
      </w:r>
      <w:r w:rsidR="00711CB3" w:rsidRPr="001B2D8B">
        <w:rPr>
          <w:rFonts w:ascii="Arial" w:hAnsi="Arial" w:cs="Arial"/>
          <w:i/>
          <w:iCs/>
        </w:rPr>
        <w:t xml:space="preserve">Endowment Fund Board of Directors: March </w:t>
      </w:r>
      <w:r w:rsidR="001B2D8B" w:rsidRPr="001B2D8B">
        <w:rPr>
          <w:rFonts w:ascii="Arial" w:hAnsi="Arial" w:cs="Arial"/>
          <w:i/>
          <w:iCs/>
        </w:rPr>
        <w:t>5</w:t>
      </w:r>
      <w:r w:rsidR="00711CB3" w:rsidRPr="001B2D8B">
        <w:rPr>
          <w:rFonts w:ascii="Arial" w:hAnsi="Arial" w:cs="Arial"/>
          <w:i/>
          <w:iCs/>
        </w:rPr>
        <w:t>, 202</w:t>
      </w:r>
      <w:r w:rsidR="001B2D8B" w:rsidRPr="001B2D8B">
        <w:rPr>
          <w:rFonts w:ascii="Arial" w:hAnsi="Arial" w:cs="Arial"/>
          <w:i/>
          <w:iCs/>
        </w:rPr>
        <w:t>5</w:t>
      </w:r>
    </w:p>
    <w:p w14:paraId="62422E82" w14:textId="77777777" w:rsidR="009B7D06" w:rsidRPr="00352D90" w:rsidRDefault="009B7D06" w:rsidP="00352D90">
      <w:pPr>
        <w:pStyle w:val="NoSpacing"/>
        <w:spacing w:line="264" w:lineRule="auto"/>
        <w:rPr>
          <w:rFonts w:ascii="Arial" w:hAnsi="Arial" w:cs="Arial"/>
        </w:rPr>
      </w:pPr>
    </w:p>
    <w:p w14:paraId="3ABB3CF8" w14:textId="002585A2" w:rsidR="00484AAB" w:rsidRPr="00B316B8" w:rsidRDefault="0080042E" w:rsidP="00352D90">
      <w:pPr>
        <w:pStyle w:val="NoSpacing"/>
        <w:spacing w:line="264" w:lineRule="auto"/>
        <w:rPr>
          <w:rFonts w:ascii="Arial" w:hAnsi="Arial" w:cs="Arial"/>
          <w:color w:val="000000" w:themeColor="text1"/>
        </w:rPr>
      </w:pPr>
      <w:r w:rsidRPr="00B316B8">
        <w:rPr>
          <w:rFonts w:ascii="Arial" w:hAnsi="Arial" w:cs="Arial"/>
        </w:rPr>
        <w:t xml:space="preserve">The </w:t>
      </w:r>
      <w:r w:rsidR="00095C2D" w:rsidRPr="00B316B8">
        <w:rPr>
          <w:rFonts w:ascii="Arial" w:hAnsi="Arial" w:cs="Arial"/>
        </w:rPr>
        <w:t>TSC Alliance</w:t>
      </w:r>
      <w:r w:rsidR="004C6114" w:rsidRPr="00B316B8">
        <w:rPr>
          <w:rFonts w:ascii="Arial" w:hAnsi="Arial" w:cs="Arial"/>
        </w:rPr>
        <w:t xml:space="preserve"> </w:t>
      </w:r>
      <w:r w:rsidR="009B7D06" w:rsidRPr="00B316B8">
        <w:rPr>
          <w:rFonts w:ascii="Arial" w:hAnsi="Arial" w:cs="Arial"/>
        </w:rPr>
        <w:t xml:space="preserve">Campaign Counting Policy details </w:t>
      </w:r>
      <w:r w:rsidR="006334FF" w:rsidRPr="00B316B8">
        <w:rPr>
          <w:rFonts w:ascii="Arial" w:hAnsi="Arial" w:cs="Arial"/>
          <w:color w:val="000000" w:themeColor="text1"/>
        </w:rPr>
        <w:t xml:space="preserve">rules for </w:t>
      </w:r>
      <w:r w:rsidR="009B7D06" w:rsidRPr="00B316B8">
        <w:rPr>
          <w:rFonts w:ascii="Arial" w:hAnsi="Arial" w:cs="Arial"/>
          <w:color w:val="000000" w:themeColor="text1"/>
        </w:rPr>
        <w:t>the inclusion of a gift in</w:t>
      </w:r>
      <w:r w:rsidR="006334FF" w:rsidRPr="00B316B8">
        <w:rPr>
          <w:rFonts w:ascii="Arial" w:hAnsi="Arial" w:cs="Arial"/>
          <w:color w:val="000000" w:themeColor="text1"/>
        </w:rPr>
        <w:t xml:space="preserve"> </w:t>
      </w:r>
      <w:r w:rsidR="003D2C01">
        <w:rPr>
          <w:rFonts w:ascii="Arial" w:hAnsi="Arial" w:cs="Arial"/>
          <w:color w:val="000000" w:themeColor="text1"/>
        </w:rPr>
        <w:t xml:space="preserve">Research Campaign/50 Forward Fund </w:t>
      </w:r>
      <w:r w:rsidR="009B7D06" w:rsidRPr="00B316B8">
        <w:rPr>
          <w:rFonts w:ascii="Arial" w:hAnsi="Arial" w:cs="Arial"/>
          <w:color w:val="000000" w:themeColor="text1"/>
        </w:rPr>
        <w:t>totals</w:t>
      </w:r>
      <w:r w:rsidR="006334FF" w:rsidRPr="00B316B8">
        <w:rPr>
          <w:rFonts w:ascii="Arial" w:hAnsi="Arial" w:cs="Arial"/>
          <w:color w:val="000000" w:themeColor="text1"/>
        </w:rPr>
        <w:t>.</w:t>
      </w:r>
      <w:r w:rsidR="009B7D06" w:rsidRPr="00B316B8">
        <w:rPr>
          <w:rFonts w:ascii="Arial" w:hAnsi="Arial" w:cs="Arial"/>
          <w:color w:val="000000" w:themeColor="text1"/>
        </w:rPr>
        <w:t xml:space="preserve"> </w:t>
      </w:r>
      <w:r w:rsidR="005860BE" w:rsidRPr="00B316B8">
        <w:rPr>
          <w:rFonts w:ascii="Arial" w:hAnsi="Arial" w:cs="Arial"/>
          <w:color w:val="000000" w:themeColor="text1"/>
        </w:rPr>
        <w:t>The terms detailed</w:t>
      </w:r>
      <w:r w:rsidR="009B7D06" w:rsidRPr="00B316B8">
        <w:rPr>
          <w:rFonts w:ascii="Arial" w:hAnsi="Arial" w:cs="Arial"/>
          <w:color w:val="000000" w:themeColor="text1"/>
        </w:rPr>
        <w:t xml:space="preserve"> within this document are</w:t>
      </w:r>
      <w:r w:rsidR="006334FF" w:rsidRPr="00B316B8">
        <w:rPr>
          <w:rFonts w:ascii="Arial" w:hAnsi="Arial" w:cs="Arial"/>
          <w:color w:val="000000" w:themeColor="text1"/>
        </w:rPr>
        <w:t xml:space="preserve"> </w:t>
      </w:r>
      <w:r w:rsidR="009B7D06" w:rsidRPr="00B316B8">
        <w:rPr>
          <w:rFonts w:ascii="Arial" w:hAnsi="Arial" w:cs="Arial"/>
          <w:color w:val="000000" w:themeColor="text1"/>
        </w:rPr>
        <w:t>in alignment with</w:t>
      </w:r>
      <w:r w:rsidR="006334FF" w:rsidRPr="00B316B8">
        <w:rPr>
          <w:rFonts w:ascii="Arial" w:hAnsi="Arial" w:cs="Arial"/>
          <w:color w:val="000000" w:themeColor="text1"/>
        </w:rPr>
        <w:t xml:space="preserve"> </w:t>
      </w:r>
      <w:r w:rsidR="00245AC3" w:rsidRPr="00B316B8">
        <w:rPr>
          <w:rFonts w:ascii="Arial" w:hAnsi="Arial" w:cs="Arial"/>
          <w:color w:val="000000" w:themeColor="text1"/>
        </w:rPr>
        <w:t xml:space="preserve">industry standards and should be considered in alignment with </w:t>
      </w:r>
      <w:r w:rsidRPr="00B316B8">
        <w:rPr>
          <w:rFonts w:ascii="Arial" w:hAnsi="Arial" w:cs="Arial"/>
          <w:color w:val="000000" w:themeColor="text1"/>
        </w:rPr>
        <w:t xml:space="preserve">the </w:t>
      </w:r>
      <w:r w:rsidR="00095C2D" w:rsidRPr="00B316B8">
        <w:rPr>
          <w:rFonts w:ascii="Arial" w:hAnsi="Arial" w:cs="Arial"/>
          <w:color w:val="000000" w:themeColor="text1"/>
        </w:rPr>
        <w:t>TSC Alliance</w:t>
      </w:r>
      <w:r w:rsidR="004C6114" w:rsidRPr="00B316B8">
        <w:rPr>
          <w:rFonts w:ascii="Arial" w:hAnsi="Arial" w:cs="Arial"/>
          <w:color w:val="000000" w:themeColor="text1"/>
        </w:rPr>
        <w:t xml:space="preserve"> </w:t>
      </w:r>
      <w:r w:rsidR="009B7D06" w:rsidRPr="00B316B8">
        <w:rPr>
          <w:rFonts w:ascii="Arial" w:hAnsi="Arial" w:cs="Arial"/>
          <w:color w:val="000000" w:themeColor="text1"/>
        </w:rPr>
        <w:t>Gift Acceptance Polic</w:t>
      </w:r>
      <w:r w:rsidR="00245AC3" w:rsidRPr="00B316B8">
        <w:rPr>
          <w:rFonts w:ascii="Arial" w:hAnsi="Arial" w:cs="Arial"/>
          <w:color w:val="000000" w:themeColor="text1"/>
        </w:rPr>
        <w:t>y</w:t>
      </w:r>
      <w:r w:rsidR="006334FF" w:rsidRPr="00B316B8">
        <w:rPr>
          <w:rFonts w:ascii="Arial" w:hAnsi="Arial" w:cs="Arial"/>
          <w:color w:val="000000" w:themeColor="text1"/>
        </w:rPr>
        <w:t>.</w:t>
      </w:r>
    </w:p>
    <w:p w14:paraId="0D9F0F19" w14:textId="77777777" w:rsidR="00352D90" w:rsidRPr="00B316B8" w:rsidRDefault="00352D90" w:rsidP="00352D90">
      <w:pPr>
        <w:pStyle w:val="NoSpacing"/>
        <w:spacing w:line="264" w:lineRule="auto"/>
        <w:rPr>
          <w:rFonts w:ascii="Arial" w:hAnsi="Arial" w:cs="Arial"/>
          <w:color w:val="000000" w:themeColor="text1"/>
          <w:u w:val="single"/>
        </w:rPr>
      </w:pPr>
    </w:p>
    <w:p w14:paraId="256EB1A3" w14:textId="2DB77EA9" w:rsidR="0023242D" w:rsidRPr="00B316B8" w:rsidRDefault="00E34D7E"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I.</w:t>
      </w:r>
      <w:r w:rsidR="00807F97" w:rsidRPr="00B316B8">
        <w:rPr>
          <w:rFonts w:ascii="Arial" w:hAnsi="Arial" w:cs="Arial"/>
          <w:b/>
          <w:bCs/>
          <w:color w:val="000000" w:themeColor="text1"/>
          <w:u w:val="single"/>
        </w:rPr>
        <w:t xml:space="preserve">  </w:t>
      </w:r>
      <w:r w:rsidR="006334FF" w:rsidRPr="00B316B8">
        <w:rPr>
          <w:rFonts w:ascii="Arial" w:hAnsi="Arial" w:cs="Arial"/>
          <w:b/>
          <w:bCs/>
          <w:color w:val="000000" w:themeColor="text1"/>
          <w:u w:val="single"/>
        </w:rPr>
        <w:t>Campaign Counting Period</w:t>
      </w:r>
    </w:p>
    <w:p w14:paraId="3156B820" w14:textId="77777777" w:rsidR="00352D90" w:rsidRPr="00B316B8" w:rsidRDefault="00352D90" w:rsidP="00352D90">
      <w:pPr>
        <w:pStyle w:val="NoSpacing"/>
        <w:spacing w:line="264" w:lineRule="auto"/>
        <w:rPr>
          <w:rFonts w:ascii="Arial" w:hAnsi="Arial" w:cs="Arial"/>
          <w:b/>
          <w:bCs/>
          <w:color w:val="000000" w:themeColor="text1"/>
          <w:u w:val="single"/>
        </w:rPr>
      </w:pPr>
    </w:p>
    <w:p w14:paraId="2334C690" w14:textId="3A844D93" w:rsidR="00352990" w:rsidRPr="00B316B8" w:rsidRDefault="0080042E" w:rsidP="00352D90">
      <w:pPr>
        <w:pStyle w:val="NoSpacing"/>
        <w:spacing w:line="264" w:lineRule="auto"/>
        <w:rPr>
          <w:rFonts w:ascii="Arial" w:hAnsi="Arial" w:cs="Arial"/>
          <w:color w:val="000000" w:themeColor="text1"/>
        </w:rPr>
      </w:pPr>
      <w:r w:rsidRPr="00B316B8">
        <w:rPr>
          <w:rFonts w:ascii="Arial" w:hAnsi="Arial" w:cs="Arial"/>
          <w:color w:val="000000" w:themeColor="text1"/>
        </w:rPr>
        <w:t xml:space="preserve">The </w:t>
      </w:r>
      <w:r w:rsidR="00095C2D" w:rsidRPr="00B316B8">
        <w:rPr>
          <w:rFonts w:ascii="Arial" w:hAnsi="Arial" w:cs="Arial"/>
          <w:color w:val="000000" w:themeColor="text1"/>
        </w:rPr>
        <w:t>TSC Alliance</w:t>
      </w:r>
      <w:r w:rsidR="004C6114" w:rsidRPr="00B316B8">
        <w:rPr>
          <w:rFonts w:ascii="Arial" w:hAnsi="Arial" w:cs="Arial"/>
          <w:color w:val="000000" w:themeColor="text1"/>
        </w:rPr>
        <w:t xml:space="preserve"> </w:t>
      </w:r>
      <w:r w:rsidR="00A537A5" w:rsidRPr="00B316B8">
        <w:rPr>
          <w:rFonts w:ascii="Arial" w:hAnsi="Arial" w:cs="Arial"/>
          <w:color w:val="000000" w:themeColor="text1"/>
        </w:rPr>
        <w:t xml:space="preserve">Board of </w:t>
      </w:r>
      <w:r w:rsidR="004C6114" w:rsidRPr="00B316B8">
        <w:rPr>
          <w:rFonts w:ascii="Arial" w:hAnsi="Arial" w:cs="Arial"/>
          <w:color w:val="000000" w:themeColor="text1"/>
        </w:rPr>
        <w:t>Directors</w:t>
      </w:r>
      <w:r w:rsidR="003615A5" w:rsidRPr="00B316B8">
        <w:rPr>
          <w:rFonts w:ascii="Arial" w:hAnsi="Arial" w:cs="Arial"/>
          <w:color w:val="000000" w:themeColor="text1"/>
        </w:rPr>
        <w:t xml:space="preserve"> voted on </w:t>
      </w:r>
      <w:r w:rsidRPr="00B316B8">
        <w:rPr>
          <w:rFonts w:ascii="Arial" w:hAnsi="Arial" w:cs="Arial"/>
          <w:color w:val="000000" w:themeColor="text1"/>
        </w:rPr>
        <w:t>October 4, 2019</w:t>
      </w:r>
      <w:r w:rsidR="003D2C01">
        <w:rPr>
          <w:rFonts w:ascii="Arial" w:hAnsi="Arial" w:cs="Arial"/>
          <w:color w:val="000000" w:themeColor="text1"/>
        </w:rPr>
        <w:t>,</w:t>
      </w:r>
      <w:r w:rsidR="00A537A5" w:rsidRPr="00B316B8">
        <w:rPr>
          <w:rFonts w:ascii="Arial" w:hAnsi="Arial" w:cs="Arial"/>
          <w:color w:val="000000" w:themeColor="text1"/>
        </w:rPr>
        <w:t xml:space="preserve"> </w:t>
      </w:r>
      <w:r w:rsidR="00A03A52" w:rsidRPr="00B316B8">
        <w:rPr>
          <w:rFonts w:ascii="Arial" w:hAnsi="Arial" w:cs="Arial"/>
          <w:color w:val="000000" w:themeColor="text1"/>
        </w:rPr>
        <w:t xml:space="preserve">to proceed with </w:t>
      </w:r>
      <w:r w:rsidR="00B36C95" w:rsidRPr="00B316B8">
        <w:rPr>
          <w:rFonts w:ascii="Arial" w:hAnsi="Arial" w:cs="Arial"/>
          <w:color w:val="000000" w:themeColor="text1"/>
        </w:rPr>
        <w:t>a fundra</w:t>
      </w:r>
      <w:r w:rsidR="00B82107" w:rsidRPr="00B316B8">
        <w:rPr>
          <w:rFonts w:ascii="Arial" w:hAnsi="Arial" w:cs="Arial"/>
          <w:color w:val="000000" w:themeColor="text1"/>
        </w:rPr>
        <w:t>ising campaign in support of its Investment to Accelerate Research business plan.</w:t>
      </w:r>
      <w:r w:rsidR="00E20A7C" w:rsidRPr="00B316B8">
        <w:rPr>
          <w:rFonts w:ascii="Arial" w:hAnsi="Arial" w:cs="Arial"/>
          <w:color w:val="000000" w:themeColor="text1"/>
        </w:rPr>
        <w:t xml:space="preserve"> </w:t>
      </w:r>
      <w:r w:rsidR="00095C2D" w:rsidRPr="00B316B8">
        <w:rPr>
          <w:rFonts w:ascii="Arial" w:hAnsi="Arial" w:cs="Arial"/>
          <w:color w:val="000000" w:themeColor="text1"/>
        </w:rPr>
        <w:t>The c</w:t>
      </w:r>
      <w:r w:rsidR="004C6114" w:rsidRPr="00B316B8">
        <w:rPr>
          <w:rFonts w:ascii="Arial" w:hAnsi="Arial" w:cs="Arial"/>
          <w:color w:val="000000" w:themeColor="text1"/>
        </w:rPr>
        <w:t>ampaign</w:t>
      </w:r>
      <w:r w:rsidR="003D2C01">
        <w:rPr>
          <w:rFonts w:ascii="Arial" w:hAnsi="Arial" w:cs="Arial"/>
          <w:color w:val="000000" w:themeColor="text1"/>
        </w:rPr>
        <w:t xml:space="preserve">, known both as the Research Campaign and the 50 Forward </w:t>
      </w:r>
      <w:proofErr w:type="gramStart"/>
      <w:r w:rsidR="003D2C01">
        <w:rPr>
          <w:rFonts w:ascii="Arial" w:hAnsi="Arial" w:cs="Arial"/>
          <w:color w:val="000000" w:themeColor="text1"/>
        </w:rPr>
        <w:t xml:space="preserve">Fund, </w:t>
      </w:r>
      <w:r w:rsidR="004C6114" w:rsidRPr="00B316B8">
        <w:rPr>
          <w:rFonts w:ascii="Arial" w:hAnsi="Arial" w:cs="Arial"/>
          <w:color w:val="000000" w:themeColor="text1"/>
        </w:rPr>
        <w:t xml:space="preserve"> counting</w:t>
      </w:r>
      <w:proofErr w:type="gramEnd"/>
      <w:r w:rsidR="004C6114" w:rsidRPr="00B316B8">
        <w:rPr>
          <w:rFonts w:ascii="Arial" w:hAnsi="Arial" w:cs="Arial"/>
          <w:color w:val="000000" w:themeColor="text1"/>
        </w:rPr>
        <w:t xml:space="preserve"> </w:t>
      </w:r>
      <w:r w:rsidR="005766BA" w:rsidRPr="00B316B8">
        <w:rPr>
          <w:rFonts w:ascii="Arial" w:hAnsi="Arial" w:cs="Arial"/>
          <w:color w:val="000000" w:themeColor="text1"/>
        </w:rPr>
        <w:t>period was originally set to begin</w:t>
      </w:r>
      <w:r w:rsidR="004C6114" w:rsidRPr="00B316B8">
        <w:rPr>
          <w:rFonts w:ascii="Arial" w:hAnsi="Arial" w:cs="Arial"/>
          <w:color w:val="000000" w:themeColor="text1"/>
        </w:rPr>
        <w:t xml:space="preserve"> </w:t>
      </w:r>
      <w:proofErr w:type="gramStart"/>
      <w:r w:rsidR="004C6114" w:rsidRPr="00B316B8">
        <w:rPr>
          <w:rFonts w:ascii="Arial" w:hAnsi="Arial" w:cs="Arial"/>
          <w:color w:val="000000" w:themeColor="text1"/>
        </w:rPr>
        <w:t>concurrent</w:t>
      </w:r>
      <w:proofErr w:type="gramEnd"/>
      <w:r w:rsidR="004C6114" w:rsidRPr="00B316B8">
        <w:rPr>
          <w:rFonts w:ascii="Arial" w:hAnsi="Arial" w:cs="Arial"/>
          <w:color w:val="000000" w:themeColor="text1"/>
        </w:rPr>
        <w:t xml:space="preserve"> with the start of t</w:t>
      </w:r>
      <w:r w:rsidR="00D36CB1" w:rsidRPr="00B316B8">
        <w:rPr>
          <w:rFonts w:ascii="Arial" w:hAnsi="Arial" w:cs="Arial"/>
          <w:color w:val="000000" w:themeColor="text1"/>
        </w:rPr>
        <w:t>he campaign</w:t>
      </w:r>
      <w:r w:rsidR="004C6114" w:rsidRPr="00B316B8">
        <w:rPr>
          <w:rFonts w:ascii="Arial" w:hAnsi="Arial" w:cs="Arial"/>
          <w:color w:val="000000" w:themeColor="text1"/>
        </w:rPr>
        <w:t>’s Quiet Phase on J</w:t>
      </w:r>
      <w:r w:rsidR="005540EB" w:rsidRPr="00B316B8">
        <w:rPr>
          <w:rFonts w:ascii="Arial" w:hAnsi="Arial" w:cs="Arial"/>
          <w:color w:val="000000" w:themeColor="text1"/>
        </w:rPr>
        <w:t xml:space="preserve">anuary 1, 2020. </w:t>
      </w:r>
      <w:r w:rsidR="001D0D44" w:rsidRPr="00B316B8">
        <w:rPr>
          <w:rFonts w:ascii="Arial" w:hAnsi="Arial" w:cs="Arial"/>
          <w:color w:val="000000" w:themeColor="text1"/>
        </w:rPr>
        <w:t xml:space="preserve"> </w:t>
      </w:r>
      <w:r w:rsidR="000D5EC5" w:rsidRPr="00B316B8">
        <w:rPr>
          <w:rFonts w:ascii="Arial" w:hAnsi="Arial" w:cs="Arial"/>
          <w:color w:val="000000" w:themeColor="text1"/>
        </w:rPr>
        <w:t>An expected campaign close date of January 31, 202</w:t>
      </w:r>
      <w:r w:rsidR="00127D50">
        <w:rPr>
          <w:rFonts w:ascii="Arial" w:hAnsi="Arial" w:cs="Arial"/>
          <w:color w:val="000000" w:themeColor="text1"/>
        </w:rPr>
        <w:t>9</w:t>
      </w:r>
      <w:r w:rsidR="003D2C01">
        <w:rPr>
          <w:rFonts w:ascii="Arial" w:hAnsi="Arial" w:cs="Arial"/>
          <w:color w:val="000000" w:themeColor="text1"/>
        </w:rPr>
        <w:t>,</w:t>
      </w:r>
      <w:r w:rsidR="00D36CB1" w:rsidRPr="00B316B8">
        <w:rPr>
          <w:rFonts w:ascii="Arial" w:hAnsi="Arial" w:cs="Arial"/>
          <w:color w:val="000000" w:themeColor="text1"/>
        </w:rPr>
        <w:t xml:space="preserve"> will be confirmed a</w:t>
      </w:r>
      <w:r w:rsidR="005736F6" w:rsidRPr="00B316B8">
        <w:rPr>
          <w:rFonts w:ascii="Arial" w:hAnsi="Arial" w:cs="Arial"/>
          <w:color w:val="000000" w:themeColor="text1"/>
        </w:rPr>
        <w:t>s campaign progress is assessed during the Public Phase</w:t>
      </w:r>
      <w:r w:rsidR="00D36CB1" w:rsidRPr="00B316B8">
        <w:rPr>
          <w:rFonts w:ascii="Arial" w:hAnsi="Arial" w:cs="Arial"/>
          <w:color w:val="000000" w:themeColor="text1"/>
        </w:rPr>
        <w:t>.</w:t>
      </w:r>
    </w:p>
    <w:p w14:paraId="7C6C1381" w14:textId="77777777" w:rsidR="00352D90" w:rsidRPr="00B316B8" w:rsidRDefault="00352D90" w:rsidP="00352D90">
      <w:pPr>
        <w:pStyle w:val="NoSpacing"/>
        <w:spacing w:line="264" w:lineRule="auto"/>
        <w:rPr>
          <w:rFonts w:ascii="Arial" w:hAnsi="Arial" w:cs="Arial"/>
          <w:color w:val="000000" w:themeColor="text1"/>
        </w:rPr>
      </w:pPr>
    </w:p>
    <w:p w14:paraId="2B898651" w14:textId="593547FA" w:rsidR="00636816" w:rsidRPr="00B316B8" w:rsidRDefault="00E34D7E"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 xml:space="preserve">II.  </w:t>
      </w:r>
      <w:r w:rsidR="00636816" w:rsidRPr="00B316B8">
        <w:rPr>
          <w:rFonts w:ascii="Arial" w:hAnsi="Arial" w:cs="Arial"/>
          <w:b/>
          <w:bCs/>
          <w:color w:val="000000" w:themeColor="text1"/>
          <w:u w:val="single"/>
        </w:rPr>
        <w:t>Gift and Pledge Cycle</w:t>
      </w:r>
    </w:p>
    <w:p w14:paraId="6C17356F" w14:textId="77777777" w:rsidR="00352D90" w:rsidRPr="00B316B8" w:rsidRDefault="00352D90" w:rsidP="00352D90">
      <w:pPr>
        <w:pStyle w:val="NoSpacing"/>
        <w:spacing w:line="264" w:lineRule="auto"/>
        <w:rPr>
          <w:rFonts w:ascii="Arial" w:hAnsi="Arial" w:cs="Arial"/>
          <w:b/>
          <w:bCs/>
          <w:color w:val="000000" w:themeColor="text1"/>
          <w:u w:val="single"/>
        </w:rPr>
      </w:pPr>
    </w:p>
    <w:p w14:paraId="06094BD6" w14:textId="00A0E350" w:rsidR="002F74B7" w:rsidRPr="00B316B8" w:rsidRDefault="00636816" w:rsidP="00352D90">
      <w:pPr>
        <w:pStyle w:val="NoSpacing"/>
        <w:spacing w:line="264" w:lineRule="auto"/>
        <w:rPr>
          <w:rFonts w:ascii="Arial" w:hAnsi="Arial" w:cs="Arial"/>
          <w:color w:val="000000" w:themeColor="text1"/>
        </w:rPr>
      </w:pPr>
      <w:proofErr w:type="gramStart"/>
      <w:r w:rsidRPr="00B316B8">
        <w:rPr>
          <w:rFonts w:ascii="Arial" w:hAnsi="Arial" w:cs="Arial"/>
          <w:color w:val="000000" w:themeColor="text1"/>
        </w:rPr>
        <w:t>In order to</w:t>
      </w:r>
      <w:proofErr w:type="gramEnd"/>
      <w:r w:rsidRPr="00B316B8">
        <w:rPr>
          <w:rFonts w:ascii="Arial" w:hAnsi="Arial" w:cs="Arial"/>
          <w:color w:val="000000" w:themeColor="text1"/>
        </w:rPr>
        <w:t xml:space="preserve"> fulfill their campaign goals, </w:t>
      </w:r>
      <w:r w:rsidR="00095C2D" w:rsidRPr="00B316B8">
        <w:rPr>
          <w:rFonts w:ascii="Arial" w:hAnsi="Arial" w:cs="Arial"/>
          <w:color w:val="000000" w:themeColor="text1"/>
        </w:rPr>
        <w:t>TSC Alliance</w:t>
      </w:r>
      <w:r w:rsidRPr="00B316B8">
        <w:rPr>
          <w:rFonts w:ascii="Arial" w:hAnsi="Arial" w:cs="Arial"/>
          <w:color w:val="000000" w:themeColor="text1"/>
        </w:rPr>
        <w:t xml:space="preserve"> will accept new gifts of cash and pledges</w:t>
      </w:r>
      <w:r w:rsidR="00B82107" w:rsidRPr="00B316B8">
        <w:rPr>
          <w:rFonts w:ascii="Arial" w:hAnsi="Arial" w:cs="Arial"/>
          <w:color w:val="000000" w:themeColor="text1"/>
        </w:rPr>
        <w:t>, generally</w:t>
      </w:r>
      <w:r w:rsidRPr="00B316B8">
        <w:rPr>
          <w:rFonts w:ascii="Arial" w:hAnsi="Arial" w:cs="Arial"/>
          <w:color w:val="000000" w:themeColor="text1"/>
        </w:rPr>
        <w:t xml:space="preserve"> payable over five years. Pledges need not be fully satisfied over the official campaign counting period. A pledge received on the last day of the campaign will be counted in campaign totals</w:t>
      </w:r>
      <w:r w:rsidR="00AF1BA4" w:rsidRPr="00B316B8">
        <w:rPr>
          <w:rFonts w:ascii="Arial" w:hAnsi="Arial" w:cs="Arial"/>
          <w:color w:val="000000" w:themeColor="text1"/>
        </w:rPr>
        <w:t>,</w:t>
      </w:r>
      <w:r w:rsidRPr="00B316B8">
        <w:rPr>
          <w:rFonts w:ascii="Arial" w:hAnsi="Arial" w:cs="Arial"/>
          <w:color w:val="000000" w:themeColor="text1"/>
        </w:rPr>
        <w:t xml:space="preserve"> though pledge payments may extend into the following five years.</w:t>
      </w:r>
    </w:p>
    <w:p w14:paraId="621A541A" w14:textId="77777777" w:rsidR="00352D90" w:rsidRPr="00B316B8" w:rsidRDefault="00352D90" w:rsidP="00352D90">
      <w:pPr>
        <w:pStyle w:val="NoSpacing"/>
        <w:spacing w:line="264" w:lineRule="auto"/>
        <w:rPr>
          <w:rFonts w:ascii="Arial" w:hAnsi="Arial" w:cs="Arial"/>
          <w:color w:val="000000" w:themeColor="text1"/>
        </w:rPr>
      </w:pPr>
    </w:p>
    <w:p w14:paraId="1E09CE75" w14:textId="49A105F0" w:rsidR="002F74B7" w:rsidRPr="00B316B8" w:rsidRDefault="00E34D7E"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 xml:space="preserve">III.  </w:t>
      </w:r>
      <w:r w:rsidR="002F74B7" w:rsidRPr="00B316B8">
        <w:rPr>
          <w:rFonts w:ascii="Arial" w:hAnsi="Arial" w:cs="Arial"/>
          <w:b/>
          <w:bCs/>
          <w:color w:val="000000" w:themeColor="text1"/>
          <w:u w:val="single"/>
        </w:rPr>
        <w:t>Gifts Received Prior to Campaign Counting Period</w:t>
      </w:r>
    </w:p>
    <w:p w14:paraId="11A11D64" w14:textId="77777777" w:rsidR="00352D90" w:rsidRPr="00B316B8" w:rsidRDefault="00352D90" w:rsidP="00352D90">
      <w:pPr>
        <w:pStyle w:val="NoSpacing"/>
        <w:spacing w:line="264" w:lineRule="auto"/>
        <w:rPr>
          <w:rFonts w:ascii="Arial" w:hAnsi="Arial" w:cs="Arial"/>
          <w:color w:val="000000" w:themeColor="text1"/>
        </w:rPr>
      </w:pPr>
    </w:p>
    <w:p w14:paraId="76DB1A4D" w14:textId="6CF134AE" w:rsidR="002F74B7" w:rsidRPr="00B316B8" w:rsidRDefault="002F74B7" w:rsidP="00352D90">
      <w:pPr>
        <w:pStyle w:val="NoSpacing"/>
        <w:spacing w:line="264" w:lineRule="auto"/>
        <w:rPr>
          <w:rFonts w:ascii="Arial" w:hAnsi="Arial" w:cs="Arial"/>
          <w:color w:val="000000" w:themeColor="text1"/>
        </w:rPr>
      </w:pPr>
      <w:r w:rsidRPr="00B316B8">
        <w:rPr>
          <w:rFonts w:ascii="Arial" w:hAnsi="Arial" w:cs="Arial"/>
          <w:color w:val="000000" w:themeColor="text1"/>
        </w:rPr>
        <w:t>Gifts received prior to the official campaign counting period will be included in campaign totals under the following conditions:</w:t>
      </w:r>
    </w:p>
    <w:p w14:paraId="7C7EEF9E" w14:textId="77777777" w:rsidR="00352D90" w:rsidRPr="00B316B8" w:rsidRDefault="00352D90" w:rsidP="00352D90">
      <w:pPr>
        <w:pStyle w:val="NoSpacing"/>
        <w:spacing w:line="264" w:lineRule="auto"/>
        <w:rPr>
          <w:rFonts w:ascii="Arial" w:hAnsi="Arial" w:cs="Arial"/>
          <w:color w:val="000000" w:themeColor="text1"/>
        </w:rPr>
      </w:pPr>
    </w:p>
    <w:p w14:paraId="05A8B3E5" w14:textId="10CD4DD2" w:rsidR="001D0D44" w:rsidRPr="00B316B8" w:rsidRDefault="002F74B7" w:rsidP="001D0D44">
      <w:pPr>
        <w:pStyle w:val="NoSpacing"/>
        <w:numPr>
          <w:ilvl w:val="0"/>
          <w:numId w:val="39"/>
        </w:numPr>
        <w:spacing w:line="264" w:lineRule="auto"/>
        <w:rPr>
          <w:rFonts w:ascii="Arial" w:hAnsi="Arial" w:cs="Arial"/>
          <w:color w:val="000000" w:themeColor="text1"/>
        </w:rPr>
      </w:pPr>
      <w:r w:rsidRPr="00B316B8">
        <w:rPr>
          <w:rFonts w:ascii="Arial" w:hAnsi="Arial" w:cs="Arial"/>
          <w:color w:val="000000" w:themeColor="text1"/>
        </w:rPr>
        <w:t xml:space="preserve">The gift or pledge was in support of a </w:t>
      </w:r>
      <w:r w:rsidR="004C6114" w:rsidRPr="00B316B8">
        <w:rPr>
          <w:rFonts w:ascii="Arial" w:hAnsi="Arial" w:cs="Arial"/>
          <w:color w:val="000000" w:themeColor="text1"/>
        </w:rPr>
        <w:t xml:space="preserve">funding </w:t>
      </w:r>
      <w:r w:rsidRPr="00B316B8">
        <w:rPr>
          <w:rFonts w:ascii="Arial" w:hAnsi="Arial" w:cs="Arial"/>
          <w:color w:val="000000" w:themeColor="text1"/>
        </w:rPr>
        <w:t xml:space="preserve">initiative that is part of the </w:t>
      </w:r>
      <w:r w:rsidR="007F4DCB">
        <w:rPr>
          <w:rFonts w:ascii="Arial" w:hAnsi="Arial" w:cs="Arial"/>
          <w:color w:val="000000" w:themeColor="text1"/>
        </w:rPr>
        <w:t xml:space="preserve">Research Campaign </w:t>
      </w:r>
      <w:r w:rsidR="004C6114" w:rsidRPr="00B316B8">
        <w:rPr>
          <w:rFonts w:ascii="Arial" w:hAnsi="Arial" w:cs="Arial"/>
          <w:color w:val="000000" w:themeColor="text1"/>
        </w:rPr>
        <w:t xml:space="preserve">and was </w:t>
      </w:r>
      <w:r w:rsidR="00B82107" w:rsidRPr="00B316B8">
        <w:rPr>
          <w:rFonts w:ascii="Arial" w:hAnsi="Arial" w:cs="Arial"/>
          <w:color w:val="000000" w:themeColor="text1"/>
        </w:rPr>
        <w:t xml:space="preserve">dated </w:t>
      </w:r>
      <w:r w:rsidR="004C6114" w:rsidRPr="00B316B8">
        <w:rPr>
          <w:rFonts w:ascii="Arial" w:hAnsi="Arial" w:cs="Arial"/>
          <w:color w:val="000000" w:themeColor="text1"/>
        </w:rPr>
        <w:t xml:space="preserve">on or after </w:t>
      </w:r>
      <w:r w:rsidR="005540EB" w:rsidRPr="00B316B8">
        <w:rPr>
          <w:rFonts w:ascii="Arial" w:hAnsi="Arial" w:cs="Arial"/>
          <w:color w:val="000000" w:themeColor="text1"/>
        </w:rPr>
        <w:t>January 1, 2019</w:t>
      </w:r>
      <w:r w:rsidR="00B82107" w:rsidRPr="00B316B8">
        <w:rPr>
          <w:rFonts w:ascii="Arial" w:hAnsi="Arial" w:cs="Arial"/>
          <w:color w:val="000000" w:themeColor="text1"/>
        </w:rPr>
        <w:t>.</w:t>
      </w:r>
    </w:p>
    <w:p w14:paraId="35BE3D18" w14:textId="77777777" w:rsidR="001D0D44" w:rsidRPr="00B316B8" w:rsidRDefault="001D0D44" w:rsidP="001D0D44">
      <w:pPr>
        <w:pStyle w:val="NoSpacing"/>
        <w:spacing w:line="264" w:lineRule="auto"/>
        <w:ind w:left="720"/>
        <w:rPr>
          <w:rFonts w:ascii="Arial" w:hAnsi="Arial" w:cs="Arial"/>
          <w:color w:val="000000" w:themeColor="text1"/>
        </w:rPr>
      </w:pPr>
    </w:p>
    <w:p w14:paraId="62B43ACA" w14:textId="241F59F1" w:rsidR="001D0D44" w:rsidRPr="00B316B8" w:rsidRDefault="001D0D44" w:rsidP="001D0D44">
      <w:pPr>
        <w:pStyle w:val="NoSpacing"/>
        <w:numPr>
          <w:ilvl w:val="1"/>
          <w:numId w:val="42"/>
        </w:numPr>
        <w:spacing w:line="264" w:lineRule="auto"/>
        <w:rPr>
          <w:rFonts w:ascii="Arial" w:hAnsi="Arial" w:cs="Arial"/>
          <w:color w:val="000000" w:themeColor="text1"/>
        </w:rPr>
      </w:pPr>
      <w:r w:rsidRPr="00B316B8">
        <w:rPr>
          <w:rFonts w:ascii="Arial" w:hAnsi="Arial" w:cs="Arial"/>
          <w:color w:val="000000" w:themeColor="text1"/>
        </w:rPr>
        <w:t xml:space="preserve">An exception to the above condition will be made </w:t>
      </w:r>
      <w:proofErr w:type="gramStart"/>
      <w:r w:rsidR="001F48C5" w:rsidRPr="00B316B8">
        <w:rPr>
          <w:rFonts w:ascii="Arial" w:hAnsi="Arial" w:cs="Arial"/>
          <w:color w:val="000000" w:themeColor="text1"/>
        </w:rPr>
        <w:t>with regard to</w:t>
      </w:r>
      <w:proofErr w:type="gramEnd"/>
      <w:r w:rsidR="001F48C5" w:rsidRPr="00B316B8">
        <w:rPr>
          <w:rFonts w:ascii="Arial" w:hAnsi="Arial" w:cs="Arial"/>
          <w:color w:val="000000" w:themeColor="text1"/>
        </w:rPr>
        <w:t xml:space="preserve"> </w:t>
      </w:r>
      <w:r w:rsidRPr="00B316B8">
        <w:rPr>
          <w:rFonts w:ascii="Arial" w:hAnsi="Arial" w:cs="Arial"/>
          <w:color w:val="000000" w:themeColor="text1"/>
        </w:rPr>
        <w:t xml:space="preserve">two commitments </w:t>
      </w:r>
      <w:r w:rsidR="00AB4794" w:rsidRPr="00B316B8">
        <w:rPr>
          <w:rFonts w:ascii="Arial" w:hAnsi="Arial" w:cs="Arial"/>
          <w:color w:val="000000" w:themeColor="text1"/>
        </w:rPr>
        <w:t>closed</w:t>
      </w:r>
      <w:r w:rsidRPr="00B316B8">
        <w:rPr>
          <w:rFonts w:ascii="Arial" w:hAnsi="Arial" w:cs="Arial"/>
          <w:color w:val="000000" w:themeColor="text1"/>
        </w:rPr>
        <w:t xml:space="preserve"> in the final weeks of 2018.  These commitments – the November 30, 2018, </w:t>
      </w:r>
      <w:r w:rsidR="00A60B73" w:rsidRPr="00B316B8">
        <w:rPr>
          <w:rFonts w:ascii="Arial" w:hAnsi="Arial" w:cs="Arial"/>
          <w:color w:val="000000" w:themeColor="text1"/>
        </w:rPr>
        <w:t xml:space="preserve">Gerry and Bill </w:t>
      </w:r>
      <w:r w:rsidRPr="00B316B8">
        <w:rPr>
          <w:rFonts w:ascii="Arial" w:hAnsi="Arial" w:cs="Arial"/>
          <w:color w:val="000000" w:themeColor="text1"/>
        </w:rPr>
        <w:t>Cowlin</w:t>
      </w:r>
      <w:r w:rsidR="00A60B73" w:rsidRPr="00B316B8">
        <w:rPr>
          <w:rFonts w:ascii="Arial" w:hAnsi="Arial" w:cs="Arial"/>
          <w:color w:val="000000" w:themeColor="text1"/>
        </w:rPr>
        <w:t xml:space="preserve"> Foundation</w:t>
      </w:r>
      <w:r w:rsidRPr="00B316B8">
        <w:rPr>
          <w:rFonts w:ascii="Arial" w:hAnsi="Arial" w:cs="Arial"/>
          <w:color w:val="000000" w:themeColor="text1"/>
        </w:rPr>
        <w:t xml:space="preserve"> commitment of $900,000 and the December 14, 2018, Wong </w:t>
      </w:r>
      <w:r w:rsidR="00A60B73" w:rsidRPr="00B316B8">
        <w:rPr>
          <w:rFonts w:ascii="Arial" w:hAnsi="Arial" w:cs="Arial"/>
          <w:color w:val="000000" w:themeColor="text1"/>
        </w:rPr>
        <w:t xml:space="preserve">Family Foundation </w:t>
      </w:r>
      <w:r w:rsidRPr="00B316B8">
        <w:rPr>
          <w:rFonts w:ascii="Arial" w:hAnsi="Arial" w:cs="Arial"/>
          <w:color w:val="000000" w:themeColor="text1"/>
        </w:rPr>
        <w:t xml:space="preserve">commitment of $100,000 – were designated by the donors to support elements of the Research Business Plan, have been expended accordingly, </w:t>
      </w:r>
      <w:r w:rsidR="001F48C5" w:rsidRPr="00B316B8">
        <w:rPr>
          <w:rFonts w:ascii="Arial" w:hAnsi="Arial" w:cs="Arial"/>
          <w:color w:val="000000" w:themeColor="text1"/>
        </w:rPr>
        <w:t>and therefore are material to the accurate and complete accounting of commitments in support of campaign priorities.</w:t>
      </w:r>
    </w:p>
    <w:p w14:paraId="053A032A" w14:textId="77777777" w:rsidR="00AF1BA4" w:rsidRPr="00B316B8" w:rsidRDefault="00AF1BA4" w:rsidP="00AF1BA4">
      <w:pPr>
        <w:pStyle w:val="NoSpacing"/>
        <w:spacing w:line="264" w:lineRule="auto"/>
        <w:ind w:left="720"/>
        <w:rPr>
          <w:rFonts w:ascii="Arial" w:hAnsi="Arial" w:cs="Arial"/>
          <w:color w:val="000000" w:themeColor="text1"/>
        </w:rPr>
      </w:pPr>
    </w:p>
    <w:p w14:paraId="52B137B3" w14:textId="2B091111" w:rsidR="00352D90" w:rsidRPr="00B316B8" w:rsidRDefault="002F74B7" w:rsidP="001D0D44">
      <w:pPr>
        <w:pStyle w:val="NoSpacing"/>
        <w:numPr>
          <w:ilvl w:val="0"/>
          <w:numId w:val="39"/>
        </w:numPr>
        <w:spacing w:line="264" w:lineRule="auto"/>
        <w:rPr>
          <w:rFonts w:ascii="Arial" w:hAnsi="Arial" w:cs="Arial"/>
          <w:color w:val="000000" w:themeColor="text1"/>
        </w:rPr>
      </w:pPr>
      <w:r w:rsidRPr="00B316B8">
        <w:rPr>
          <w:rFonts w:ascii="Arial" w:hAnsi="Arial" w:cs="Arial"/>
          <w:color w:val="000000" w:themeColor="text1"/>
        </w:rPr>
        <w:t>The gift or pledge was not counted toward a previous campaign</w:t>
      </w:r>
      <w:r w:rsidR="001D0D44" w:rsidRPr="00B316B8">
        <w:rPr>
          <w:rFonts w:ascii="Arial" w:hAnsi="Arial" w:cs="Arial"/>
          <w:color w:val="000000" w:themeColor="text1"/>
        </w:rPr>
        <w:t>.</w:t>
      </w:r>
    </w:p>
    <w:p w14:paraId="7A29A287" w14:textId="77777777" w:rsidR="00352D90" w:rsidRPr="00B316B8" w:rsidRDefault="00352D90" w:rsidP="00AF1BA4">
      <w:pPr>
        <w:pStyle w:val="NoSpacing"/>
        <w:spacing w:line="264" w:lineRule="auto"/>
        <w:rPr>
          <w:rFonts w:ascii="Arial" w:hAnsi="Arial" w:cs="Arial"/>
          <w:color w:val="000000" w:themeColor="text1"/>
        </w:rPr>
      </w:pPr>
    </w:p>
    <w:p w14:paraId="50696BC9" w14:textId="2A4D0BCE" w:rsidR="002F74B7" w:rsidRPr="00B316B8" w:rsidRDefault="00E34D7E"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 xml:space="preserve">IV.  </w:t>
      </w:r>
      <w:r w:rsidR="002F74B7" w:rsidRPr="00B316B8">
        <w:rPr>
          <w:rFonts w:ascii="Arial" w:hAnsi="Arial" w:cs="Arial"/>
          <w:b/>
          <w:bCs/>
          <w:color w:val="000000" w:themeColor="text1"/>
          <w:u w:val="single"/>
        </w:rPr>
        <w:t>Gifts to Previous Campaigns</w:t>
      </w:r>
    </w:p>
    <w:p w14:paraId="68CAB3ED" w14:textId="77777777" w:rsidR="00352D90" w:rsidRPr="00B316B8" w:rsidRDefault="00352D90" w:rsidP="00352D90">
      <w:pPr>
        <w:pStyle w:val="NoSpacing"/>
        <w:spacing w:line="264" w:lineRule="auto"/>
        <w:rPr>
          <w:rFonts w:ascii="Arial" w:hAnsi="Arial" w:cs="Arial"/>
          <w:b/>
          <w:bCs/>
          <w:color w:val="000000" w:themeColor="text1"/>
          <w:u w:val="single"/>
        </w:rPr>
      </w:pPr>
    </w:p>
    <w:p w14:paraId="6514198B" w14:textId="43657FFC" w:rsidR="002F74B7" w:rsidRPr="00B316B8" w:rsidRDefault="002F74B7" w:rsidP="00352D90">
      <w:pPr>
        <w:pStyle w:val="NoSpacing"/>
        <w:spacing w:line="264" w:lineRule="auto"/>
        <w:rPr>
          <w:rFonts w:ascii="Arial" w:hAnsi="Arial" w:cs="Arial"/>
          <w:color w:val="000000" w:themeColor="text1"/>
        </w:rPr>
      </w:pPr>
      <w:r w:rsidRPr="00B316B8">
        <w:rPr>
          <w:rFonts w:ascii="Arial" w:hAnsi="Arial" w:cs="Arial"/>
          <w:color w:val="000000" w:themeColor="text1"/>
        </w:rPr>
        <w:t>Gifts made to a previous campaign will not count toward the current campaign.  However, documented increases in the value of a planned gift previously counted at a lower level may count toward the current campaign.</w:t>
      </w:r>
    </w:p>
    <w:p w14:paraId="27EBCE2D" w14:textId="77777777" w:rsidR="00352D90" w:rsidRPr="00B316B8" w:rsidRDefault="00352D90" w:rsidP="00352D90">
      <w:pPr>
        <w:pStyle w:val="NoSpacing"/>
        <w:spacing w:line="264" w:lineRule="auto"/>
        <w:rPr>
          <w:rFonts w:ascii="Arial" w:hAnsi="Arial" w:cs="Arial"/>
          <w:color w:val="000000" w:themeColor="text1"/>
        </w:rPr>
      </w:pPr>
    </w:p>
    <w:p w14:paraId="33F2F0D9" w14:textId="1C514FD8" w:rsidR="00A50BB1" w:rsidRPr="00B316B8" w:rsidRDefault="00E34D7E"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 xml:space="preserve">V.  </w:t>
      </w:r>
      <w:r w:rsidR="003471BA" w:rsidRPr="00B316B8">
        <w:rPr>
          <w:rFonts w:ascii="Arial" w:hAnsi="Arial" w:cs="Arial"/>
          <w:b/>
          <w:bCs/>
          <w:color w:val="000000" w:themeColor="text1"/>
          <w:u w:val="single"/>
        </w:rPr>
        <w:t xml:space="preserve">Valuation and Reporting </w:t>
      </w:r>
      <w:r w:rsidR="00A50BB1" w:rsidRPr="00B316B8">
        <w:rPr>
          <w:rFonts w:ascii="Arial" w:hAnsi="Arial" w:cs="Arial"/>
          <w:b/>
          <w:bCs/>
          <w:color w:val="000000" w:themeColor="text1"/>
          <w:u w:val="single"/>
        </w:rPr>
        <w:t>Standards</w:t>
      </w:r>
    </w:p>
    <w:p w14:paraId="7670CD7C" w14:textId="77777777" w:rsidR="00352D90" w:rsidRPr="00B316B8" w:rsidRDefault="00352D90" w:rsidP="00352D90">
      <w:pPr>
        <w:pStyle w:val="NoSpacing"/>
        <w:spacing w:line="264" w:lineRule="auto"/>
        <w:rPr>
          <w:rFonts w:ascii="Arial" w:hAnsi="Arial" w:cs="Arial"/>
          <w:b/>
          <w:bCs/>
          <w:color w:val="000000" w:themeColor="text1"/>
          <w:u w:val="single"/>
        </w:rPr>
      </w:pPr>
    </w:p>
    <w:p w14:paraId="6DFFE79B" w14:textId="3FBBF834" w:rsidR="00A3008A" w:rsidRPr="00B316B8" w:rsidRDefault="00095C2D" w:rsidP="00352D90">
      <w:pPr>
        <w:pStyle w:val="NoSpacing"/>
        <w:spacing w:line="264" w:lineRule="auto"/>
        <w:rPr>
          <w:rFonts w:ascii="Arial" w:hAnsi="Arial" w:cs="Arial"/>
          <w:color w:val="000000" w:themeColor="text1"/>
        </w:rPr>
      </w:pPr>
      <w:r w:rsidRPr="00B316B8">
        <w:rPr>
          <w:rFonts w:ascii="Arial" w:hAnsi="Arial" w:cs="Arial"/>
          <w:color w:val="000000" w:themeColor="text1"/>
        </w:rPr>
        <w:t>TSC Alliance</w:t>
      </w:r>
      <w:r w:rsidR="00A50BB1" w:rsidRPr="00B316B8">
        <w:rPr>
          <w:rFonts w:ascii="Arial" w:hAnsi="Arial" w:cs="Arial"/>
          <w:color w:val="000000" w:themeColor="text1"/>
        </w:rPr>
        <w:t xml:space="preserve"> will value donations for gift and campaign credit purposes in accordance with its internal procedures reflecting, in general, the reporting standards suggested by the Financial Accounting Standards B</w:t>
      </w:r>
      <w:r w:rsidR="00B2510E" w:rsidRPr="00B316B8">
        <w:rPr>
          <w:rFonts w:ascii="Arial" w:hAnsi="Arial" w:cs="Arial"/>
          <w:color w:val="000000" w:themeColor="text1"/>
        </w:rPr>
        <w:t xml:space="preserve">oard (FASB). </w:t>
      </w:r>
      <w:r w:rsidR="00A50BB1" w:rsidRPr="00B316B8">
        <w:rPr>
          <w:rFonts w:ascii="Arial" w:hAnsi="Arial" w:cs="Arial"/>
          <w:color w:val="000000" w:themeColor="text1"/>
        </w:rPr>
        <w:t>Such valuation and credit will be independent of the valuation and date of the gift as reported by the donor to the Internal Revenue Service, or the value placed on the gift by the Internal Revenue Service for federal income tax purposes. Such valuation may also differ from valuation for financial statement purposes as required by FASB.</w:t>
      </w:r>
    </w:p>
    <w:p w14:paraId="5BAF006A" w14:textId="77777777" w:rsidR="00352D90" w:rsidRPr="00B316B8" w:rsidRDefault="00352D90" w:rsidP="00352D90">
      <w:pPr>
        <w:pStyle w:val="NoSpacing"/>
        <w:spacing w:line="264" w:lineRule="auto"/>
        <w:rPr>
          <w:rFonts w:ascii="Arial" w:hAnsi="Arial" w:cs="Arial"/>
          <w:color w:val="000000" w:themeColor="text1"/>
        </w:rPr>
      </w:pPr>
    </w:p>
    <w:p w14:paraId="2445780B" w14:textId="5579622D" w:rsidR="00C357BF" w:rsidRPr="00B316B8" w:rsidRDefault="00E34D7E"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 xml:space="preserve">VI.  </w:t>
      </w:r>
      <w:r w:rsidR="00A3008A" w:rsidRPr="00B316B8">
        <w:rPr>
          <w:rFonts w:ascii="Arial" w:hAnsi="Arial" w:cs="Arial"/>
          <w:b/>
          <w:bCs/>
          <w:color w:val="000000" w:themeColor="text1"/>
          <w:u w:val="single"/>
        </w:rPr>
        <w:t xml:space="preserve">Types of </w:t>
      </w:r>
      <w:r w:rsidR="0016382D" w:rsidRPr="00B316B8">
        <w:rPr>
          <w:rFonts w:ascii="Arial" w:hAnsi="Arial" w:cs="Arial"/>
          <w:b/>
          <w:bCs/>
          <w:color w:val="000000" w:themeColor="text1"/>
          <w:u w:val="single"/>
        </w:rPr>
        <w:t xml:space="preserve">Campaign </w:t>
      </w:r>
      <w:r w:rsidR="00A3008A" w:rsidRPr="00B316B8">
        <w:rPr>
          <w:rFonts w:ascii="Arial" w:hAnsi="Arial" w:cs="Arial"/>
          <w:b/>
          <w:bCs/>
          <w:color w:val="000000" w:themeColor="text1"/>
          <w:u w:val="single"/>
        </w:rPr>
        <w:t>Gifts</w:t>
      </w:r>
    </w:p>
    <w:p w14:paraId="6C825E55" w14:textId="77777777" w:rsidR="00352D90" w:rsidRPr="00B316B8" w:rsidRDefault="00352D90" w:rsidP="00352D90">
      <w:pPr>
        <w:pStyle w:val="NoSpacing"/>
        <w:spacing w:line="264" w:lineRule="auto"/>
        <w:rPr>
          <w:rFonts w:ascii="Arial" w:hAnsi="Arial" w:cs="Arial"/>
          <w:b/>
          <w:bCs/>
          <w:color w:val="000000" w:themeColor="text1"/>
          <w:u w:val="single"/>
        </w:rPr>
      </w:pPr>
    </w:p>
    <w:p w14:paraId="47655F2B" w14:textId="292DA80D" w:rsidR="008C0717" w:rsidRPr="00B316B8" w:rsidRDefault="00095C2D" w:rsidP="00352D90">
      <w:pPr>
        <w:pStyle w:val="NoSpacing"/>
        <w:spacing w:line="264" w:lineRule="auto"/>
        <w:rPr>
          <w:rFonts w:ascii="Arial" w:hAnsi="Arial" w:cs="Arial"/>
          <w:color w:val="000000" w:themeColor="text1"/>
        </w:rPr>
      </w:pPr>
      <w:r w:rsidRPr="00B316B8">
        <w:rPr>
          <w:rFonts w:ascii="Arial" w:hAnsi="Arial" w:cs="Arial"/>
          <w:color w:val="000000" w:themeColor="text1"/>
        </w:rPr>
        <w:t>TSC Alliance</w:t>
      </w:r>
      <w:r w:rsidR="007A3043" w:rsidRPr="00B316B8">
        <w:rPr>
          <w:rFonts w:ascii="Arial" w:hAnsi="Arial" w:cs="Arial"/>
          <w:color w:val="000000" w:themeColor="text1"/>
        </w:rPr>
        <w:t xml:space="preserve"> will accept the following types of gifts in support of its campaign:</w:t>
      </w:r>
    </w:p>
    <w:p w14:paraId="55D2757C" w14:textId="77777777" w:rsidR="00352D90" w:rsidRPr="00B316B8" w:rsidRDefault="00352D90" w:rsidP="00352D90">
      <w:pPr>
        <w:pStyle w:val="NoSpacing"/>
        <w:spacing w:line="264" w:lineRule="auto"/>
        <w:rPr>
          <w:rFonts w:ascii="Arial" w:hAnsi="Arial" w:cs="Arial"/>
          <w:color w:val="000000" w:themeColor="text1"/>
        </w:rPr>
      </w:pPr>
    </w:p>
    <w:p w14:paraId="07D8BEAB" w14:textId="77777777" w:rsidR="00C357BF" w:rsidRPr="00B316B8" w:rsidRDefault="0062038F" w:rsidP="00352D90">
      <w:pPr>
        <w:pStyle w:val="NoSpacing"/>
        <w:numPr>
          <w:ilvl w:val="0"/>
          <w:numId w:val="40"/>
        </w:numPr>
        <w:spacing w:line="264" w:lineRule="auto"/>
        <w:rPr>
          <w:rFonts w:ascii="Arial" w:hAnsi="Arial" w:cs="Arial"/>
          <w:color w:val="000000" w:themeColor="text1"/>
        </w:rPr>
      </w:pPr>
      <w:r w:rsidRPr="00B316B8">
        <w:rPr>
          <w:rFonts w:ascii="Arial" w:hAnsi="Arial" w:cs="Arial"/>
          <w:color w:val="000000" w:themeColor="text1"/>
        </w:rPr>
        <w:t>New g</w:t>
      </w:r>
      <w:r w:rsidR="008C0717" w:rsidRPr="00B316B8">
        <w:rPr>
          <w:rFonts w:ascii="Arial" w:hAnsi="Arial" w:cs="Arial"/>
          <w:color w:val="000000" w:themeColor="text1"/>
        </w:rPr>
        <w:t>ifts of cash</w:t>
      </w:r>
    </w:p>
    <w:p w14:paraId="099D1A43" w14:textId="43194AEE" w:rsidR="00C357BF" w:rsidRPr="00B316B8" w:rsidRDefault="0062038F" w:rsidP="00352D90">
      <w:pPr>
        <w:pStyle w:val="NoSpacing"/>
        <w:numPr>
          <w:ilvl w:val="0"/>
          <w:numId w:val="40"/>
        </w:numPr>
        <w:spacing w:line="264" w:lineRule="auto"/>
        <w:rPr>
          <w:rFonts w:ascii="Arial" w:hAnsi="Arial" w:cs="Arial"/>
          <w:color w:val="000000" w:themeColor="text1"/>
        </w:rPr>
      </w:pPr>
      <w:r w:rsidRPr="00B316B8">
        <w:rPr>
          <w:rFonts w:ascii="Arial" w:hAnsi="Arial" w:cs="Arial"/>
          <w:color w:val="000000" w:themeColor="text1"/>
        </w:rPr>
        <w:t>New documented p</w:t>
      </w:r>
      <w:r w:rsidR="007A3043" w:rsidRPr="00B316B8">
        <w:rPr>
          <w:rFonts w:ascii="Arial" w:hAnsi="Arial" w:cs="Arial"/>
          <w:color w:val="000000" w:themeColor="text1"/>
        </w:rPr>
        <w:t>ledge commitment</w:t>
      </w:r>
      <w:r w:rsidR="006A58D2" w:rsidRPr="00B316B8">
        <w:rPr>
          <w:rFonts w:ascii="Arial" w:hAnsi="Arial" w:cs="Arial"/>
          <w:color w:val="000000" w:themeColor="text1"/>
        </w:rPr>
        <w:t>s</w:t>
      </w:r>
    </w:p>
    <w:p w14:paraId="2A279E5F" w14:textId="33A7CD94" w:rsidR="00C357BF" w:rsidRPr="00B316B8" w:rsidRDefault="0062038F" w:rsidP="00352D90">
      <w:pPr>
        <w:pStyle w:val="NoSpacing"/>
        <w:numPr>
          <w:ilvl w:val="0"/>
          <w:numId w:val="40"/>
        </w:numPr>
        <w:spacing w:line="264" w:lineRule="auto"/>
        <w:rPr>
          <w:rFonts w:ascii="Arial" w:hAnsi="Arial" w:cs="Arial"/>
          <w:color w:val="000000" w:themeColor="text1"/>
        </w:rPr>
      </w:pPr>
      <w:r w:rsidRPr="00B316B8">
        <w:rPr>
          <w:rFonts w:ascii="Arial" w:hAnsi="Arial" w:cs="Arial"/>
          <w:color w:val="000000" w:themeColor="text1"/>
        </w:rPr>
        <w:t>G</w:t>
      </w:r>
      <w:r w:rsidR="006A58D2" w:rsidRPr="00B316B8">
        <w:rPr>
          <w:rFonts w:ascii="Arial" w:hAnsi="Arial" w:cs="Arial"/>
          <w:color w:val="000000" w:themeColor="text1"/>
        </w:rPr>
        <w:t>ifts of securities</w:t>
      </w:r>
    </w:p>
    <w:p w14:paraId="7F4DC0A0" w14:textId="30640423" w:rsidR="00C357BF" w:rsidRPr="00B316B8" w:rsidRDefault="0062038F" w:rsidP="00352D90">
      <w:pPr>
        <w:pStyle w:val="NoSpacing"/>
        <w:numPr>
          <w:ilvl w:val="0"/>
          <w:numId w:val="40"/>
        </w:numPr>
        <w:spacing w:line="264" w:lineRule="auto"/>
        <w:rPr>
          <w:rFonts w:ascii="Arial" w:hAnsi="Arial" w:cs="Arial"/>
          <w:color w:val="000000" w:themeColor="text1"/>
        </w:rPr>
      </w:pPr>
      <w:r w:rsidRPr="00B316B8">
        <w:rPr>
          <w:rFonts w:ascii="Arial" w:hAnsi="Arial" w:cs="Arial"/>
          <w:color w:val="000000" w:themeColor="text1"/>
        </w:rPr>
        <w:t xml:space="preserve">Gifts of real </w:t>
      </w:r>
      <w:r w:rsidR="00EA0472" w:rsidRPr="00B316B8">
        <w:rPr>
          <w:rFonts w:ascii="Arial" w:hAnsi="Arial" w:cs="Arial"/>
          <w:color w:val="000000" w:themeColor="text1"/>
        </w:rPr>
        <w:t xml:space="preserve">or other tangible personal </w:t>
      </w:r>
      <w:r w:rsidRPr="00B316B8">
        <w:rPr>
          <w:rFonts w:ascii="Arial" w:hAnsi="Arial" w:cs="Arial"/>
          <w:color w:val="000000" w:themeColor="text1"/>
        </w:rPr>
        <w:t>property</w:t>
      </w:r>
    </w:p>
    <w:p w14:paraId="7D6A5372" w14:textId="3C5C755D" w:rsidR="00A3008A" w:rsidRPr="00B316B8" w:rsidRDefault="0062038F" w:rsidP="00352D90">
      <w:pPr>
        <w:pStyle w:val="NoSpacing"/>
        <w:numPr>
          <w:ilvl w:val="0"/>
          <w:numId w:val="40"/>
        </w:numPr>
        <w:spacing w:line="264" w:lineRule="auto"/>
        <w:rPr>
          <w:rFonts w:ascii="Arial" w:hAnsi="Arial" w:cs="Arial"/>
          <w:color w:val="000000" w:themeColor="text1"/>
        </w:rPr>
      </w:pPr>
      <w:r w:rsidRPr="00B316B8">
        <w:rPr>
          <w:rFonts w:ascii="Arial" w:hAnsi="Arial" w:cs="Arial"/>
          <w:color w:val="000000" w:themeColor="text1"/>
        </w:rPr>
        <w:t>D</w:t>
      </w:r>
      <w:r w:rsidR="002F0911" w:rsidRPr="00B316B8">
        <w:rPr>
          <w:rFonts w:ascii="Arial" w:hAnsi="Arial" w:cs="Arial"/>
          <w:color w:val="000000" w:themeColor="text1"/>
        </w:rPr>
        <w:t>eferred or planned gift commitments</w:t>
      </w:r>
    </w:p>
    <w:p w14:paraId="29CBF387" w14:textId="77777777" w:rsidR="00352D90" w:rsidRPr="00B316B8" w:rsidRDefault="00352D90" w:rsidP="00352D90">
      <w:pPr>
        <w:pStyle w:val="NoSpacing"/>
        <w:spacing w:line="264" w:lineRule="auto"/>
        <w:rPr>
          <w:rFonts w:ascii="Arial" w:hAnsi="Arial" w:cs="Arial"/>
          <w:color w:val="000000" w:themeColor="text1"/>
        </w:rPr>
      </w:pPr>
    </w:p>
    <w:p w14:paraId="420F3B1D" w14:textId="22014310" w:rsidR="0016382D" w:rsidRPr="00B316B8" w:rsidRDefault="00EB4083" w:rsidP="00352D90">
      <w:pPr>
        <w:pStyle w:val="NoSpacing"/>
        <w:spacing w:line="264" w:lineRule="auto"/>
        <w:rPr>
          <w:rFonts w:ascii="Arial" w:hAnsi="Arial" w:cs="Arial"/>
          <w:color w:val="000000" w:themeColor="text1"/>
        </w:rPr>
      </w:pPr>
      <w:r w:rsidRPr="00B316B8">
        <w:rPr>
          <w:rFonts w:ascii="Arial" w:hAnsi="Arial" w:cs="Arial"/>
          <w:color w:val="000000" w:themeColor="text1"/>
        </w:rPr>
        <w:t xml:space="preserve">For detailed information on policies governing the acceptance of each of the above gift types, please refer to the </w:t>
      </w:r>
      <w:r w:rsidR="00095C2D" w:rsidRPr="00B316B8">
        <w:rPr>
          <w:rFonts w:ascii="Arial" w:hAnsi="Arial" w:cs="Arial"/>
          <w:color w:val="000000" w:themeColor="text1"/>
        </w:rPr>
        <w:t>TSC Alliance</w:t>
      </w:r>
      <w:r w:rsidRPr="00B316B8">
        <w:rPr>
          <w:rFonts w:ascii="Arial" w:hAnsi="Arial" w:cs="Arial"/>
          <w:color w:val="000000" w:themeColor="text1"/>
        </w:rPr>
        <w:t xml:space="preserve"> Gift Acceptance Policy.</w:t>
      </w:r>
    </w:p>
    <w:p w14:paraId="0D66794A" w14:textId="77777777" w:rsidR="00352D90" w:rsidRPr="00B316B8" w:rsidRDefault="00352D90" w:rsidP="00352D90">
      <w:pPr>
        <w:pStyle w:val="NoSpacing"/>
        <w:spacing w:line="264" w:lineRule="auto"/>
        <w:rPr>
          <w:rFonts w:ascii="Arial" w:hAnsi="Arial" w:cs="Arial"/>
          <w:color w:val="000000" w:themeColor="text1"/>
        </w:rPr>
      </w:pPr>
    </w:p>
    <w:p w14:paraId="7665B021" w14:textId="2CB8394E" w:rsidR="00C357BF" w:rsidRPr="00B316B8" w:rsidRDefault="00E34D7E"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 xml:space="preserve">VII.  </w:t>
      </w:r>
      <w:r w:rsidR="001C1524" w:rsidRPr="00B316B8">
        <w:rPr>
          <w:rFonts w:ascii="Arial" w:hAnsi="Arial" w:cs="Arial"/>
          <w:b/>
          <w:bCs/>
          <w:color w:val="000000" w:themeColor="text1"/>
          <w:u w:val="single"/>
        </w:rPr>
        <w:t xml:space="preserve">Multi-Year </w:t>
      </w:r>
      <w:r w:rsidR="0016382D" w:rsidRPr="00B316B8">
        <w:rPr>
          <w:rFonts w:ascii="Arial" w:hAnsi="Arial" w:cs="Arial"/>
          <w:b/>
          <w:bCs/>
          <w:color w:val="000000" w:themeColor="text1"/>
          <w:u w:val="single"/>
        </w:rPr>
        <w:t xml:space="preserve">Campaign </w:t>
      </w:r>
      <w:r w:rsidR="001C1524" w:rsidRPr="00B316B8">
        <w:rPr>
          <w:rFonts w:ascii="Arial" w:hAnsi="Arial" w:cs="Arial"/>
          <w:b/>
          <w:bCs/>
          <w:color w:val="000000" w:themeColor="text1"/>
          <w:u w:val="single"/>
        </w:rPr>
        <w:t>Pledge Commitments</w:t>
      </w:r>
    </w:p>
    <w:p w14:paraId="6E935D72" w14:textId="77777777" w:rsidR="00352D90" w:rsidRPr="00B316B8" w:rsidRDefault="00352D90" w:rsidP="00352D90">
      <w:pPr>
        <w:pStyle w:val="NoSpacing"/>
        <w:spacing w:line="264" w:lineRule="auto"/>
        <w:rPr>
          <w:rFonts w:ascii="Arial" w:hAnsi="Arial" w:cs="Arial"/>
          <w:b/>
          <w:bCs/>
          <w:color w:val="000000" w:themeColor="text1"/>
          <w:u w:val="single"/>
        </w:rPr>
      </w:pPr>
    </w:p>
    <w:p w14:paraId="01AE5C28" w14:textId="596D2DE8" w:rsidR="001C1524" w:rsidRPr="00B316B8" w:rsidRDefault="0062038F" w:rsidP="00352D90">
      <w:pPr>
        <w:pStyle w:val="NoSpacing"/>
        <w:spacing w:line="264" w:lineRule="auto"/>
        <w:rPr>
          <w:rFonts w:ascii="Arial" w:hAnsi="Arial" w:cs="Arial"/>
          <w:color w:val="000000" w:themeColor="text1"/>
        </w:rPr>
      </w:pPr>
      <w:r w:rsidRPr="00B316B8">
        <w:rPr>
          <w:rFonts w:ascii="Arial" w:hAnsi="Arial" w:cs="Arial"/>
          <w:color w:val="000000" w:themeColor="text1"/>
        </w:rPr>
        <w:t>Gift intent letters or</w:t>
      </w:r>
      <w:r w:rsidR="00232884" w:rsidRPr="00B316B8">
        <w:rPr>
          <w:rFonts w:ascii="Arial" w:hAnsi="Arial" w:cs="Arial"/>
          <w:color w:val="000000" w:themeColor="text1"/>
        </w:rPr>
        <w:t xml:space="preserve"> pledge agreements must be provided in writing and signed by the donor for all multi-year pledge commitments.</w:t>
      </w:r>
      <w:r w:rsidR="001C0CE1" w:rsidRPr="00B316B8">
        <w:rPr>
          <w:rFonts w:ascii="Arial" w:hAnsi="Arial" w:cs="Arial"/>
          <w:color w:val="000000" w:themeColor="text1"/>
        </w:rPr>
        <w:t xml:space="preserve"> C</w:t>
      </w:r>
      <w:r w:rsidR="000C3D0B" w:rsidRPr="00B316B8">
        <w:rPr>
          <w:rFonts w:ascii="Arial" w:hAnsi="Arial" w:cs="Arial"/>
          <w:color w:val="000000" w:themeColor="text1"/>
        </w:rPr>
        <w:t>onditional pledges</w:t>
      </w:r>
      <w:r w:rsidR="001C0CE1" w:rsidRPr="00B316B8">
        <w:rPr>
          <w:rFonts w:ascii="Arial" w:hAnsi="Arial" w:cs="Arial"/>
          <w:color w:val="000000" w:themeColor="text1"/>
        </w:rPr>
        <w:t>, such as challenge gifts or gifts contingent upon moving forward with a certain project, may be counted in campaign totals provided documentation of the pledge is submitted in the form of a pledge agreement and there is reasonable expectation that the conditions under which the pledge was made will be met.</w:t>
      </w:r>
    </w:p>
    <w:p w14:paraId="4C86F8FE" w14:textId="77777777" w:rsidR="0091206B" w:rsidRPr="00B316B8" w:rsidRDefault="0091206B" w:rsidP="00352D90">
      <w:pPr>
        <w:pStyle w:val="NoSpacing"/>
        <w:spacing w:line="264" w:lineRule="auto"/>
        <w:rPr>
          <w:rFonts w:ascii="Arial" w:hAnsi="Arial" w:cs="Arial"/>
          <w:color w:val="000000" w:themeColor="text1"/>
        </w:rPr>
      </w:pPr>
    </w:p>
    <w:p w14:paraId="41876F26" w14:textId="77777777" w:rsidR="00807F97" w:rsidRPr="00B316B8" w:rsidRDefault="00807F97" w:rsidP="00352D90">
      <w:pPr>
        <w:pStyle w:val="NoSpacing"/>
        <w:spacing w:line="264" w:lineRule="auto"/>
        <w:rPr>
          <w:rFonts w:ascii="Arial" w:hAnsi="Arial" w:cs="Arial"/>
          <w:color w:val="000000" w:themeColor="text1"/>
        </w:rPr>
      </w:pPr>
    </w:p>
    <w:p w14:paraId="1AFBA8E9" w14:textId="323FFD59" w:rsidR="002F74B7" w:rsidRPr="00B316B8" w:rsidRDefault="00807F97"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VIII</w:t>
      </w:r>
      <w:r w:rsidR="00E34D7E" w:rsidRPr="00B316B8">
        <w:rPr>
          <w:rFonts w:ascii="Arial" w:hAnsi="Arial" w:cs="Arial"/>
          <w:b/>
          <w:bCs/>
          <w:color w:val="000000" w:themeColor="text1"/>
          <w:u w:val="single"/>
        </w:rPr>
        <w:t xml:space="preserve">.  </w:t>
      </w:r>
      <w:r w:rsidR="0016382D" w:rsidRPr="00B316B8">
        <w:rPr>
          <w:rFonts w:ascii="Arial" w:hAnsi="Arial" w:cs="Arial"/>
          <w:b/>
          <w:bCs/>
          <w:color w:val="000000" w:themeColor="text1"/>
          <w:u w:val="single"/>
        </w:rPr>
        <w:t xml:space="preserve">Campaign </w:t>
      </w:r>
      <w:r w:rsidR="002F74B7" w:rsidRPr="00B316B8">
        <w:rPr>
          <w:rFonts w:ascii="Arial" w:hAnsi="Arial" w:cs="Arial"/>
          <w:b/>
          <w:bCs/>
          <w:color w:val="000000" w:themeColor="text1"/>
          <w:u w:val="single"/>
        </w:rPr>
        <w:t>Pledge Cycle Extension</w:t>
      </w:r>
    </w:p>
    <w:p w14:paraId="0663CF7E" w14:textId="77777777" w:rsidR="00352D90" w:rsidRPr="00B316B8" w:rsidRDefault="00352D90" w:rsidP="00352D90">
      <w:pPr>
        <w:pStyle w:val="NoSpacing"/>
        <w:spacing w:line="264" w:lineRule="auto"/>
        <w:rPr>
          <w:rFonts w:ascii="Arial" w:hAnsi="Arial" w:cs="Arial"/>
          <w:b/>
          <w:bCs/>
          <w:color w:val="000000" w:themeColor="text1"/>
          <w:u w:val="single"/>
        </w:rPr>
      </w:pPr>
    </w:p>
    <w:p w14:paraId="34058BCE" w14:textId="235E8B4B" w:rsidR="002F74B7" w:rsidRPr="00B316B8" w:rsidRDefault="00095C2D" w:rsidP="00352D90">
      <w:pPr>
        <w:pStyle w:val="NoSpacing"/>
        <w:spacing w:line="264" w:lineRule="auto"/>
        <w:rPr>
          <w:rFonts w:ascii="Arial" w:hAnsi="Arial" w:cs="Arial"/>
          <w:color w:val="000000" w:themeColor="text1"/>
        </w:rPr>
      </w:pPr>
      <w:r w:rsidRPr="00B316B8">
        <w:rPr>
          <w:rFonts w:ascii="Arial" w:hAnsi="Arial" w:cs="Arial"/>
          <w:color w:val="000000" w:themeColor="text1"/>
        </w:rPr>
        <w:t>TSC Alliance</w:t>
      </w:r>
      <w:r w:rsidR="002F74B7" w:rsidRPr="00B316B8">
        <w:rPr>
          <w:rFonts w:ascii="Arial" w:hAnsi="Arial" w:cs="Arial"/>
          <w:color w:val="000000" w:themeColor="text1"/>
        </w:rPr>
        <w:t xml:space="preserve"> will consider extending the campaign pledge payment period beyond five years to maximize leadership gifts of $1,000,000 or more. </w:t>
      </w:r>
      <w:r w:rsidR="00D7155B" w:rsidRPr="00B316B8">
        <w:rPr>
          <w:rFonts w:ascii="Arial" w:hAnsi="Arial" w:cs="Arial"/>
          <w:color w:val="000000" w:themeColor="text1"/>
        </w:rPr>
        <w:t>With the approval of the Gift Committee (see Sections I</w:t>
      </w:r>
      <w:r w:rsidR="00AF1BA4" w:rsidRPr="00B316B8">
        <w:rPr>
          <w:rFonts w:ascii="Arial" w:hAnsi="Arial" w:cs="Arial"/>
          <w:color w:val="000000" w:themeColor="text1"/>
        </w:rPr>
        <w:t>‒</w:t>
      </w:r>
      <w:r w:rsidR="00D7155B" w:rsidRPr="00B316B8">
        <w:rPr>
          <w:rFonts w:ascii="Arial" w:hAnsi="Arial" w:cs="Arial"/>
          <w:color w:val="000000" w:themeColor="text1"/>
        </w:rPr>
        <w:t xml:space="preserve">II, </w:t>
      </w:r>
      <w:r w:rsidRPr="00B316B8">
        <w:rPr>
          <w:rFonts w:ascii="Arial" w:hAnsi="Arial" w:cs="Arial"/>
          <w:color w:val="000000" w:themeColor="text1"/>
        </w:rPr>
        <w:t>TSC Alliance</w:t>
      </w:r>
      <w:r w:rsidR="00D7155B" w:rsidRPr="00B316B8">
        <w:rPr>
          <w:rFonts w:ascii="Arial" w:hAnsi="Arial" w:cs="Arial"/>
          <w:color w:val="000000" w:themeColor="text1"/>
        </w:rPr>
        <w:t xml:space="preserve"> Gift Acceptance Policy), </w:t>
      </w:r>
      <w:r w:rsidRPr="00B316B8">
        <w:rPr>
          <w:rFonts w:ascii="Arial" w:hAnsi="Arial" w:cs="Arial"/>
          <w:color w:val="000000" w:themeColor="text1"/>
        </w:rPr>
        <w:t>TSC Alliance</w:t>
      </w:r>
      <w:r w:rsidR="00A537A5" w:rsidRPr="00B316B8">
        <w:rPr>
          <w:rFonts w:ascii="Arial" w:hAnsi="Arial" w:cs="Arial"/>
          <w:color w:val="000000" w:themeColor="text1"/>
        </w:rPr>
        <w:t xml:space="preserve"> </w:t>
      </w:r>
      <w:r w:rsidR="00D7155B" w:rsidRPr="00B316B8">
        <w:rPr>
          <w:rFonts w:ascii="Arial" w:hAnsi="Arial" w:cs="Arial"/>
          <w:color w:val="000000" w:themeColor="text1"/>
        </w:rPr>
        <w:t>may</w:t>
      </w:r>
      <w:r w:rsidR="002F74B7" w:rsidRPr="00B316B8">
        <w:rPr>
          <w:rFonts w:ascii="Arial" w:hAnsi="Arial" w:cs="Arial"/>
          <w:color w:val="000000" w:themeColor="text1"/>
        </w:rPr>
        <w:t xml:space="preserve"> consider longer pledge </w:t>
      </w:r>
      <w:r w:rsidR="002F74B7" w:rsidRPr="00B316B8">
        <w:rPr>
          <w:rFonts w:ascii="Arial" w:hAnsi="Arial" w:cs="Arial"/>
          <w:color w:val="000000" w:themeColor="text1"/>
        </w:rPr>
        <w:lastRenderedPageBreak/>
        <w:t>payment schedules</w:t>
      </w:r>
      <w:r w:rsidR="004E7595" w:rsidRPr="00B316B8">
        <w:rPr>
          <w:rFonts w:ascii="Arial" w:hAnsi="Arial" w:cs="Arial"/>
          <w:color w:val="000000" w:themeColor="text1"/>
        </w:rPr>
        <w:t xml:space="preserve"> </w:t>
      </w:r>
      <w:r w:rsidR="0016382D" w:rsidRPr="00B316B8">
        <w:rPr>
          <w:rFonts w:ascii="Arial" w:hAnsi="Arial" w:cs="Arial"/>
          <w:color w:val="000000" w:themeColor="text1"/>
        </w:rPr>
        <w:t xml:space="preserve">not to exceed seven years </w:t>
      </w:r>
      <w:r w:rsidR="004E7595" w:rsidRPr="00B316B8">
        <w:rPr>
          <w:rFonts w:ascii="Arial" w:hAnsi="Arial" w:cs="Arial"/>
          <w:color w:val="000000" w:themeColor="text1"/>
        </w:rPr>
        <w:t>and will do so on a case-by-</w:t>
      </w:r>
      <w:r w:rsidR="002F74B7" w:rsidRPr="00B316B8">
        <w:rPr>
          <w:rFonts w:ascii="Arial" w:hAnsi="Arial" w:cs="Arial"/>
          <w:color w:val="000000" w:themeColor="text1"/>
        </w:rPr>
        <w:t>case basis and in conversation with donors.</w:t>
      </w:r>
    </w:p>
    <w:p w14:paraId="4D73332D" w14:textId="77777777" w:rsidR="00352D90" w:rsidRPr="00B316B8" w:rsidRDefault="00352D90" w:rsidP="00352D90">
      <w:pPr>
        <w:pStyle w:val="NoSpacing"/>
        <w:spacing w:line="264" w:lineRule="auto"/>
        <w:rPr>
          <w:rFonts w:ascii="Arial" w:hAnsi="Arial" w:cs="Arial"/>
          <w:color w:val="000000" w:themeColor="text1"/>
        </w:rPr>
      </w:pPr>
    </w:p>
    <w:p w14:paraId="19653B01" w14:textId="4A02AE53" w:rsidR="00C357BF" w:rsidRPr="00B316B8" w:rsidRDefault="00807F97"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IX.</w:t>
      </w:r>
      <w:r w:rsidR="00E34D7E" w:rsidRPr="00B316B8">
        <w:rPr>
          <w:rFonts w:ascii="Arial" w:hAnsi="Arial" w:cs="Arial"/>
          <w:b/>
          <w:bCs/>
          <w:color w:val="000000" w:themeColor="text1"/>
          <w:u w:val="single"/>
        </w:rPr>
        <w:t xml:space="preserve">  </w:t>
      </w:r>
      <w:r w:rsidR="002E7FE4" w:rsidRPr="00B316B8">
        <w:rPr>
          <w:rFonts w:ascii="Arial" w:hAnsi="Arial" w:cs="Arial"/>
          <w:b/>
          <w:bCs/>
          <w:color w:val="000000" w:themeColor="text1"/>
          <w:u w:val="single"/>
        </w:rPr>
        <w:t>Deferred Gift Commitments</w:t>
      </w:r>
    </w:p>
    <w:p w14:paraId="447A337D" w14:textId="77777777" w:rsidR="00352D90" w:rsidRPr="00B316B8" w:rsidRDefault="00352D90" w:rsidP="00352D90">
      <w:pPr>
        <w:pStyle w:val="NoSpacing"/>
        <w:spacing w:line="264" w:lineRule="auto"/>
        <w:rPr>
          <w:rFonts w:ascii="Arial" w:hAnsi="Arial" w:cs="Arial"/>
          <w:b/>
          <w:bCs/>
          <w:color w:val="000000" w:themeColor="text1"/>
        </w:rPr>
      </w:pPr>
    </w:p>
    <w:p w14:paraId="2A1ACC9F" w14:textId="3CDCB440" w:rsidR="0020043D" w:rsidRPr="00B316B8" w:rsidRDefault="00285905" w:rsidP="00352D90">
      <w:pPr>
        <w:pStyle w:val="NoSpacing"/>
        <w:spacing w:line="264" w:lineRule="auto"/>
        <w:rPr>
          <w:rFonts w:ascii="Arial" w:hAnsi="Arial" w:cs="Arial"/>
          <w:color w:val="000000" w:themeColor="text1"/>
        </w:rPr>
      </w:pPr>
      <w:r w:rsidRPr="00B316B8">
        <w:rPr>
          <w:rFonts w:ascii="Arial" w:hAnsi="Arial" w:cs="Arial"/>
          <w:color w:val="000000" w:themeColor="text1"/>
        </w:rPr>
        <w:t xml:space="preserve">During the lifetime of the current campaign, </w:t>
      </w:r>
      <w:r w:rsidR="00095C2D" w:rsidRPr="00B316B8">
        <w:rPr>
          <w:rFonts w:ascii="Arial" w:hAnsi="Arial" w:cs="Arial"/>
          <w:color w:val="000000" w:themeColor="text1"/>
        </w:rPr>
        <w:t>TSC Alliance</w:t>
      </w:r>
      <w:r w:rsidR="005873A2" w:rsidRPr="00B316B8">
        <w:rPr>
          <w:rFonts w:ascii="Arial" w:hAnsi="Arial" w:cs="Arial"/>
          <w:color w:val="000000" w:themeColor="text1"/>
        </w:rPr>
        <w:t xml:space="preserve"> will </w:t>
      </w:r>
      <w:r w:rsidR="00F8200D" w:rsidRPr="00B316B8">
        <w:rPr>
          <w:rFonts w:ascii="Arial" w:hAnsi="Arial" w:cs="Arial"/>
          <w:color w:val="000000" w:themeColor="text1"/>
        </w:rPr>
        <w:t>coun</w:t>
      </w:r>
      <w:r w:rsidRPr="00B316B8">
        <w:rPr>
          <w:rFonts w:ascii="Arial" w:hAnsi="Arial" w:cs="Arial"/>
          <w:color w:val="000000" w:themeColor="text1"/>
        </w:rPr>
        <w:t>t deferred gifts</w:t>
      </w:r>
      <w:r w:rsidR="00EB4083" w:rsidRPr="00B316B8">
        <w:rPr>
          <w:rFonts w:ascii="Arial" w:hAnsi="Arial" w:cs="Arial"/>
          <w:color w:val="000000" w:themeColor="text1"/>
        </w:rPr>
        <w:t xml:space="preserve"> </w:t>
      </w:r>
      <w:r w:rsidR="0020043D" w:rsidRPr="00B316B8">
        <w:rPr>
          <w:rFonts w:ascii="Arial" w:hAnsi="Arial" w:cs="Arial"/>
          <w:color w:val="000000" w:themeColor="text1"/>
        </w:rPr>
        <w:t xml:space="preserve">toward campaign totals provided they </w:t>
      </w:r>
      <w:r w:rsidR="00EB4083" w:rsidRPr="00B316B8">
        <w:rPr>
          <w:rFonts w:ascii="Arial" w:hAnsi="Arial" w:cs="Arial"/>
          <w:color w:val="000000" w:themeColor="text1"/>
        </w:rPr>
        <w:t xml:space="preserve">support Research </w:t>
      </w:r>
      <w:r w:rsidR="007F4DCB">
        <w:rPr>
          <w:rFonts w:ascii="Arial" w:hAnsi="Arial" w:cs="Arial"/>
          <w:color w:val="000000" w:themeColor="text1"/>
        </w:rPr>
        <w:t>C</w:t>
      </w:r>
      <w:r w:rsidR="00EB4083" w:rsidRPr="00B316B8">
        <w:rPr>
          <w:rFonts w:ascii="Arial" w:hAnsi="Arial" w:cs="Arial"/>
          <w:color w:val="000000" w:themeColor="text1"/>
        </w:rPr>
        <w:t>ampaign priorities</w:t>
      </w:r>
      <w:r w:rsidR="00245AC3" w:rsidRPr="00B316B8">
        <w:rPr>
          <w:rFonts w:ascii="Arial" w:hAnsi="Arial" w:cs="Arial"/>
          <w:color w:val="000000" w:themeColor="text1"/>
        </w:rPr>
        <w:t>, the donor provides written documentation of his or her gift intention,</w:t>
      </w:r>
      <w:r w:rsidR="0020043D" w:rsidRPr="00B316B8">
        <w:rPr>
          <w:rFonts w:ascii="Arial" w:hAnsi="Arial" w:cs="Arial"/>
          <w:color w:val="000000" w:themeColor="text1"/>
        </w:rPr>
        <w:t xml:space="preserve"> and:</w:t>
      </w:r>
    </w:p>
    <w:p w14:paraId="04E9CAE6" w14:textId="77777777" w:rsidR="00AF1BA4" w:rsidRPr="00B316B8" w:rsidRDefault="00AF1BA4" w:rsidP="00352D90">
      <w:pPr>
        <w:pStyle w:val="NoSpacing"/>
        <w:spacing w:line="264" w:lineRule="auto"/>
        <w:rPr>
          <w:rFonts w:ascii="Arial" w:hAnsi="Arial" w:cs="Arial"/>
          <w:color w:val="000000" w:themeColor="text1"/>
        </w:rPr>
      </w:pPr>
    </w:p>
    <w:p w14:paraId="5419F65C" w14:textId="18198AEF" w:rsidR="0020043D" w:rsidRPr="00B316B8" w:rsidRDefault="0020043D" w:rsidP="00352D90">
      <w:pPr>
        <w:pStyle w:val="NoSpacing"/>
        <w:numPr>
          <w:ilvl w:val="0"/>
          <w:numId w:val="41"/>
        </w:numPr>
        <w:spacing w:line="264" w:lineRule="auto"/>
        <w:rPr>
          <w:rFonts w:ascii="Arial" w:hAnsi="Arial" w:cs="Arial"/>
          <w:color w:val="000000" w:themeColor="text1"/>
        </w:rPr>
      </w:pPr>
      <w:r w:rsidRPr="00B316B8">
        <w:rPr>
          <w:rFonts w:ascii="Arial" w:hAnsi="Arial" w:cs="Arial"/>
          <w:color w:val="000000" w:themeColor="text1"/>
        </w:rPr>
        <w:t>In the case of revocable planned gifts, the donor reaches 75 years of age or older during the period of the campaign.</w:t>
      </w:r>
    </w:p>
    <w:p w14:paraId="26F3C133" w14:textId="77777777" w:rsidR="00AF1BA4" w:rsidRPr="00B316B8" w:rsidRDefault="00AF1BA4" w:rsidP="00AF1BA4">
      <w:pPr>
        <w:pStyle w:val="NoSpacing"/>
        <w:spacing w:line="264" w:lineRule="auto"/>
        <w:ind w:left="720"/>
        <w:rPr>
          <w:rFonts w:ascii="Arial" w:hAnsi="Arial" w:cs="Arial"/>
          <w:color w:val="000000" w:themeColor="text1"/>
        </w:rPr>
      </w:pPr>
    </w:p>
    <w:p w14:paraId="370BD224" w14:textId="79FBCB45" w:rsidR="0020043D" w:rsidRPr="00B316B8" w:rsidRDefault="0020043D" w:rsidP="00352D90">
      <w:pPr>
        <w:pStyle w:val="NoSpacing"/>
        <w:numPr>
          <w:ilvl w:val="0"/>
          <w:numId w:val="41"/>
        </w:numPr>
        <w:spacing w:line="264" w:lineRule="auto"/>
        <w:rPr>
          <w:rFonts w:ascii="Arial" w:hAnsi="Arial" w:cs="Arial"/>
          <w:color w:val="000000" w:themeColor="text1"/>
        </w:rPr>
      </w:pPr>
      <w:r w:rsidRPr="00B316B8">
        <w:rPr>
          <w:rFonts w:ascii="Arial" w:hAnsi="Arial" w:cs="Arial"/>
          <w:color w:val="000000" w:themeColor="text1"/>
        </w:rPr>
        <w:t xml:space="preserve">In the case of irrevocable planned gifts to which </w:t>
      </w:r>
      <w:r w:rsidR="00095C2D" w:rsidRPr="00B316B8">
        <w:rPr>
          <w:rFonts w:ascii="Arial" w:hAnsi="Arial" w:cs="Arial"/>
          <w:color w:val="000000" w:themeColor="text1"/>
        </w:rPr>
        <w:t>TSC Alliance</w:t>
      </w:r>
      <w:r w:rsidRPr="00B316B8">
        <w:rPr>
          <w:rFonts w:ascii="Arial" w:hAnsi="Arial" w:cs="Arial"/>
          <w:color w:val="000000" w:themeColor="text1"/>
        </w:rPr>
        <w:t xml:space="preserve"> is a partial beneficiary, the donor reaches 75 years of age during the period of the campaign.</w:t>
      </w:r>
    </w:p>
    <w:p w14:paraId="2BFDC84B" w14:textId="20141AFE" w:rsidR="00352D90" w:rsidRPr="00B316B8" w:rsidRDefault="00352D90" w:rsidP="00352D90">
      <w:pPr>
        <w:pStyle w:val="NoSpacing"/>
        <w:spacing w:line="264" w:lineRule="auto"/>
        <w:ind w:left="360"/>
        <w:rPr>
          <w:rFonts w:ascii="Arial" w:hAnsi="Arial" w:cs="Arial"/>
          <w:b/>
          <w:bCs/>
          <w:color w:val="000000" w:themeColor="text1"/>
        </w:rPr>
      </w:pPr>
    </w:p>
    <w:p w14:paraId="52A7FE84" w14:textId="00CF77B2" w:rsidR="002F74B7" w:rsidRPr="00B316B8" w:rsidRDefault="00807F97"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X</w:t>
      </w:r>
      <w:r w:rsidR="00E34D7E" w:rsidRPr="00B316B8">
        <w:rPr>
          <w:rFonts w:ascii="Arial" w:hAnsi="Arial" w:cs="Arial"/>
          <w:b/>
          <w:bCs/>
          <w:color w:val="000000" w:themeColor="text1"/>
          <w:u w:val="single"/>
        </w:rPr>
        <w:t xml:space="preserve">.  </w:t>
      </w:r>
      <w:r w:rsidR="002F74B7" w:rsidRPr="00B316B8">
        <w:rPr>
          <w:rFonts w:ascii="Arial" w:hAnsi="Arial" w:cs="Arial"/>
          <w:b/>
          <w:bCs/>
          <w:color w:val="000000" w:themeColor="text1"/>
          <w:u w:val="single"/>
        </w:rPr>
        <w:t>Restricted Gifts</w:t>
      </w:r>
    </w:p>
    <w:p w14:paraId="7507DB94" w14:textId="77777777" w:rsidR="00352D90" w:rsidRPr="00B316B8" w:rsidRDefault="00352D90" w:rsidP="00352D90">
      <w:pPr>
        <w:pStyle w:val="NoSpacing"/>
        <w:spacing w:line="264" w:lineRule="auto"/>
        <w:rPr>
          <w:rFonts w:ascii="Arial" w:hAnsi="Arial" w:cs="Arial"/>
          <w:b/>
          <w:bCs/>
          <w:color w:val="000000" w:themeColor="text1"/>
          <w:u w:val="single"/>
        </w:rPr>
      </w:pPr>
    </w:p>
    <w:p w14:paraId="40FBCD40" w14:textId="4BB215F8" w:rsidR="00B43359" w:rsidRPr="00B316B8" w:rsidRDefault="002F74B7" w:rsidP="00352D90">
      <w:pPr>
        <w:pStyle w:val="NoSpacing"/>
        <w:spacing w:line="264" w:lineRule="auto"/>
        <w:rPr>
          <w:rFonts w:ascii="Arial" w:hAnsi="Arial" w:cs="Arial"/>
          <w:color w:val="000000" w:themeColor="text1"/>
        </w:rPr>
      </w:pPr>
      <w:r w:rsidRPr="00B316B8">
        <w:rPr>
          <w:rFonts w:ascii="Arial" w:hAnsi="Arial" w:cs="Arial"/>
          <w:color w:val="000000" w:themeColor="text1"/>
        </w:rPr>
        <w:t xml:space="preserve">Gifts and pledges made in support of specific campaign priorities are considered restricted gifts when made with written documentation of intent provided by the donor.  Allocation of restricted gifts within the intended project is at the discretion of </w:t>
      </w:r>
      <w:r w:rsidR="00095C2D" w:rsidRPr="00B316B8">
        <w:rPr>
          <w:rFonts w:ascii="Arial" w:hAnsi="Arial" w:cs="Arial"/>
          <w:color w:val="000000" w:themeColor="text1"/>
        </w:rPr>
        <w:t>TSC Alliance</w:t>
      </w:r>
      <w:r w:rsidRPr="00B316B8">
        <w:rPr>
          <w:rFonts w:ascii="Arial" w:hAnsi="Arial" w:cs="Arial"/>
          <w:color w:val="000000" w:themeColor="text1"/>
        </w:rPr>
        <w:t xml:space="preserve"> unless otherwise specifically agreed to in writing with the donor.</w:t>
      </w:r>
    </w:p>
    <w:p w14:paraId="44B22591" w14:textId="77777777" w:rsidR="00352D90" w:rsidRPr="00B316B8" w:rsidRDefault="00352D90" w:rsidP="00352D90">
      <w:pPr>
        <w:pStyle w:val="NoSpacing"/>
        <w:spacing w:line="264" w:lineRule="auto"/>
        <w:rPr>
          <w:rFonts w:ascii="Arial" w:hAnsi="Arial" w:cs="Arial"/>
          <w:color w:val="000000" w:themeColor="text1"/>
        </w:rPr>
      </w:pPr>
    </w:p>
    <w:p w14:paraId="38DF47DF" w14:textId="729DE708" w:rsidR="006C4630" w:rsidRPr="00B316B8" w:rsidRDefault="00807F97" w:rsidP="00352D90">
      <w:pPr>
        <w:pStyle w:val="NoSpacing"/>
        <w:spacing w:line="264" w:lineRule="auto"/>
        <w:rPr>
          <w:rFonts w:ascii="Arial" w:hAnsi="Arial" w:cs="Arial"/>
          <w:b/>
          <w:bCs/>
          <w:color w:val="000000" w:themeColor="text1"/>
          <w:u w:val="single"/>
        </w:rPr>
      </w:pPr>
      <w:r w:rsidRPr="00B316B8">
        <w:rPr>
          <w:rFonts w:ascii="Arial" w:hAnsi="Arial" w:cs="Arial"/>
          <w:b/>
          <w:bCs/>
          <w:color w:val="000000" w:themeColor="text1"/>
          <w:u w:val="single"/>
        </w:rPr>
        <w:t>XI</w:t>
      </w:r>
      <w:r w:rsidR="00E34D7E" w:rsidRPr="00B316B8">
        <w:rPr>
          <w:rFonts w:ascii="Arial" w:hAnsi="Arial" w:cs="Arial"/>
          <w:b/>
          <w:bCs/>
          <w:color w:val="000000" w:themeColor="text1"/>
          <w:u w:val="single"/>
        </w:rPr>
        <w:t xml:space="preserve">.  </w:t>
      </w:r>
      <w:r w:rsidR="008B6B1C" w:rsidRPr="00B316B8">
        <w:rPr>
          <w:rFonts w:ascii="Arial" w:hAnsi="Arial" w:cs="Arial"/>
          <w:b/>
          <w:bCs/>
          <w:color w:val="000000" w:themeColor="text1"/>
          <w:u w:val="single"/>
        </w:rPr>
        <w:t xml:space="preserve">Gift </w:t>
      </w:r>
      <w:r w:rsidR="0016345D" w:rsidRPr="00B316B8">
        <w:rPr>
          <w:rFonts w:ascii="Arial" w:hAnsi="Arial" w:cs="Arial"/>
          <w:b/>
          <w:bCs/>
          <w:color w:val="000000" w:themeColor="text1"/>
          <w:u w:val="single"/>
        </w:rPr>
        <w:t xml:space="preserve">Reporting and </w:t>
      </w:r>
      <w:r w:rsidR="00FE0A47" w:rsidRPr="00B316B8">
        <w:rPr>
          <w:rFonts w:ascii="Arial" w:hAnsi="Arial" w:cs="Arial"/>
          <w:b/>
          <w:bCs/>
          <w:color w:val="000000" w:themeColor="text1"/>
          <w:u w:val="single"/>
        </w:rPr>
        <w:t xml:space="preserve">Counting </w:t>
      </w:r>
      <w:r w:rsidR="008B6B1C" w:rsidRPr="00B316B8">
        <w:rPr>
          <w:rFonts w:ascii="Arial" w:hAnsi="Arial" w:cs="Arial"/>
          <w:b/>
          <w:bCs/>
          <w:color w:val="000000" w:themeColor="text1"/>
          <w:u w:val="single"/>
        </w:rPr>
        <w:t>Guidelines</w:t>
      </w:r>
    </w:p>
    <w:p w14:paraId="061A7715" w14:textId="77777777" w:rsidR="00AF1BA4" w:rsidRPr="00B316B8" w:rsidRDefault="00AF1BA4" w:rsidP="00352D90">
      <w:pPr>
        <w:pStyle w:val="NoSpacing"/>
        <w:spacing w:line="264" w:lineRule="auto"/>
        <w:rPr>
          <w:rFonts w:ascii="Arial" w:hAnsi="Arial" w:cs="Arial"/>
          <w:b/>
          <w:bCs/>
          <w:color w:val="000000" w:themeColor="text1"/>
          <w:u w:val="single"/>
        </w:rPr>
      </w:pPr>
    </w:p>
    <w:p w14:paraId="63B9436A" w14:textId="0A01A756" w:rsidR="00A3008A" w:rsidRPr="00B316B8" w:rsidRDefault="00095C2D" w:rsidP="00352D90">
      <w:pPr>
        <w:pStyle w:val="NoSpacing"/>
        <w:spacing w:line="264" w:lineRule="auto"/>
        <w:rPr>
          <w:rFonts w:ascii="Arial" w:hAnsi="Arial" w:cs="Arial"/>
          <w:color w:val="000000" w:themeColor="text1"/>
        </w:rPr>
      </w:pPr>
      <w:r w:rsidRPr="00B316B8">
        <w:rPr>
          <w:rFonts w:ascii="Arial" w:hAnsi="Arial" w:cs="Arial"/>
          <w:color w:val="000000" w:themeColor="text1"/>
        </w:rPr>
        <w:t>TSC Alliance</w:t>
      </w:r>
      <w:r w:rsidR="008B6B1C" w:rsidRPr="00B316B8">
        <w:rPr>
          <w:rFonts w:ascii="Arial" w:hAnsi="Arial" w:cs="Arial"/>
          <w:color w:val="000000" w:themeColor="text1"/>
        </w:rPr>
        <w:t xml:space="preserve"> will </w:t>
      </w:r>
      <w:r w:rsidR="00FE0A47" w:rsidRPr="00B316B8">
        <w:rPr>
          <w:rFonts w:ascii="Arial" w:hAnsi="Arial" w:cs="Arial"/>
          <w:color w:val="000000" w:themeColor="text1"/>
        </w:rPr>
        <w:t xml:space="preserve">count </w:t>
      </w:r>
      <w:r w:rsidR="004A7FF4" w:rsidRPr="00B316B8">
        <w:rPr>
          <w:rFonts w:ascii="Arial" w:hAnsi="Arial" w:cs="Arial"/>
          <w:color w:val="000000" w:themeColor="text1"/>
        </w:rPr>
        <w:t xml:space="preserve">and, for donor recognition purposes, report </w:t>
      </w:r>
      <w:r w:rsidR="008B6B1C" w:rsidRPr="00B316B8">
        <w:rPr>
          <w:rFonts w:ascii="Arial" w:hAnsi="Arial" w:cs="Arial"/>
          <w:color w:val="000000" w:themeColor="text1"/>
        </w:rPr>
        <w:t xml:space="preserve">campaign gifts in three categories: outright gifts and pledges, irrevocable deferred gift commitments, and revocable deferred gift commitments. Outright gifts and pledges will be </w:t>
      </w:r>
      <w:r w:rsidR="00E817ED" w:rsidRPr="00B316B8">
        <w:rPr>
          <w:rFonts w:ascii="Arial" w:hAnsi="Arial" w:cs="Arial"/>
          <w:color w:val="000000" w:themeColor="text1"/>
        </w:rPr>
        <w:t xml:space="preserve">counted at face value and </w:t>
      </w:r>
      <w:r w:rsidR="008B6B1C" w:rsidRPr="00B316B8">
        <w:rPr>
          <w:rFonts w:ascii="Arial" w:hAnsi="Arial" w:cs="Arial"/>
          <w:color w:val="000000" w:themeColor="text1"/>
        </w:rPr>
        <w:t>further categorized by project designation, if any.</w:t>
      </w:r>
      <w:r w:rsidR="00E338E3" w:rsidRPr="00B316B8">
        <w:rPr>
          <w:rFonts w:ascii="Arial" w:hAnsi="Arial" w:cs="Arial"/>
          <w:color w:val="000000" w:themeColor="text1"/>
        </w:rPr>
        <w:t xml:space="preserve"> </w:t>
      </w:r>
      <w:r w:rsidR="009C1095" w:rsidRPr="00B316B8">
        <w:rPr>
          <w:rFonts w:ascii="Arial" w:hAnsi="Arial" w:cs="Arial"/>
          <w:color w:val="000000" w:themeColor="text1"/>
        </w:rPr>
        <w:t>Irrevocable and revocable deferred gif</w:t>
      </w:r>
      <w:r w:rsidR="002B57D4" w:rsidRPr="00B316B8">
        <w:rPr>
          <w:rFonts w:ascii="Arial" w:hAnsi="Arial" w:cs="Arial"/>
          <w:color w:val="000000" w:themeColor="text1"/>
        </w:rPr>
        <w:t>ts will be counted</w:t>
      </w:r>
      <w:r w:rsidR="00A4378B" w:rsidRPr="00B316B8">
        <w:rPr>
          <w:rFonts w:ascii="Arial" w:hAnsi="Arial" w:cs="Arial"/>
          <w:color w:val="000000" w:themeColor="text1"/>
        </w:rPr>
        <w:t xml:space="preserve"> </w:t>
      </w:r>
      <w:r w:rsidR="006F6835" w:rsidRPr="00B316B8">
        <w:rPr>
          <w:rFonts w:ascii="Arial" w:hAnsi="Arial" w:cs="Arial"/>
          <w:color w:val="000000" w:themeColor="text1"/>
        </w:rPr>
        <w:t xml:space="preserve">at face value </w:t>
      </w:r>
      <w:r w:rsidR="009C1095" w:rsidRPr="00B316B8">
        <w:rPr>
          <w:rFonts w:ascii="Arial" w:hAnsi="Arial" w:cs="Arial"/>
          <w:color w:val="000000" w:themeColor="text1"/>
        </w:rPr>
        <w:t xml:space="preserve">in separate categories, </w:t>
      </w:r>
      <w:r w:rsidR="005860BE" w:rsidRPr="00B316B8">
        <w:rPr>
          <w:rFonts w:ascii="Arial" w:hAnsi="Arial" w:cs="Arial"/>
          <w:color w:val="000000" w:themeColor="text1"/>
        </w:rPr>
        <w:t xml:space="preserve">respectively, and designated as outlined in Section </w:t>
      </w:r>
      <w:r w:rsidR="009315E1" w:rsidRPr="00B316B8">
        <w:rPr>
          <w:rFonts w:ascii="Arial" w:hAnsi="Arial" w:cs="Arial"/>
          <w:color w:val="000000" w:themeColor="text1"/>
        </w:rPr>
        <w:t xml:space="preserve">IX </w:t>
      </w:r>
      <w:r w:rsidR="005860BE" w:rsidRPr="00B316B8">
        <w:rPr>
          <w:rFonts w:ascii="Arial" w:hAnsi="Arial" w:cs="Arial"/>
          <w:color w:val="000000" w:themeColor="text1"/>
        </w:rPr>
        <w:t xml:space="preserve">of this policy </w:t>
      </w:r>
      <w:r w:rsidR="009C1095" w:rsidRPr="00B316B8">
        <w:rPr>
          <w:rFonts w:ascii="Arial" w:hAnsi="Arial" w:cs="Arial"/>
          <w:color w:val="000000" w:themeColor="text1"/>
        </w:rPr>
        <w:t>at such time as they may be realized.</w:t>
      </w:r>
      <w:r w:rsidR="006D7A6C" w:rsidRPr="00B316B8">
        <w:rPr>
          <w:rFonts w:ascii="Arial" w:hAnsi="Arial" w:cs="Arial"/>
          <w:color w:val="000000" w:themeColor="text1"/>
        </w:rPr>
        <w:t xml:space="preserve"> </w:t>
      </w:r>
      <w:r w:rsidR="005860BE" w:rsidRPr="00B316B8">
        <w:rPr>
          <w:rFonts w:ascii="Arial" w:hAnsi="Arial" w:cs="Arial"/>
          <w:color w:val="000000" w:themeColor="text1"/>
        </w:rPr>
        <w:t xml:space="preserve"> </w:t>
      </w:r>
    </w:p>
    <w:p w14:paraId="4FA29445" w14:textId="77777777" w:rsidR="00AF1BA4" w:rsidRPr="00B316B8" w:rsidRDefault="00AF1BA4" w:rsidP="00352D90">
      <w:pPr>
        <w:pStyle w:val="NoSpacing"/>
        <w:spacing w:line="264" w:lineRule="auto"/>
        <w:rPr>
          <w:rFonts w:ascii="Arial" w:hAnsi="Arial" w:cs="Arial"/>
          <w:color w:val="000000" w:themeColor="text1"/>
        </w:rPr>
      </w:pPr>
    </w:p>
    <w:p w14:paraId="7823D15A" w14:textId="2EB5259A" w:rsidR="00F758A2" w:rsidRPr="00B316B8" w:rsidRDefault="00E34D7E" w:rsidP="00352D90">
      <w:pPr>
        <w:pStyle w:val="NoSpacing"/>
        <w:spacing w:line="264" w:lineRule="auto"/>
        <w:rPr>
          <w:rFonts w:ascii="Arial" w:hAnsi="Arial" w:cs="Arial"/>
          <w:b/>
          <w:bCs/>
          <w:u w:val="single"/>
        </w:rPr>
      </w:pPr>
      <w:r w:rsidRPr="00B316B8">
        <w:rPr>
          <w:rFonts w:ascii="Arial" w:hAnsi="Arial" w:cs="Arial"/>
          <w:b/>
          <w:bCs/>
          <w:u w:val="single"/>
        </w:rPr>
        <w:t>X</w:t>
      </w:r>
      <w:r w:rsidR="00807F97" w:rsidRPr="00B316B8">
        <w:rPr>
          <w:rFonts w:ascii="Arial" w:hAnsi="Arial" w:cs="Arial"/>
          <w:b/>
          <w:bCs/>
          <w:u w:val="single"/>
        </w:rPr>
        <w:t>II</w:t>
      </w:r>
      <w:r w:rsidRPr="00B316B8">
        <w:rPr>
          <w:rFonts w:ascii="Arial" w:hAnsi="Arial" w:cs="Arial"/>
          <w:b/>
          <w:bCs/>
          <w:u w:val="single"/>
        </w:rPr>
        <w:t xml:space="preserve">.  </w:t>
      </w:r>
      <w:r w:rsidR="00F758A2" w:rsidRPr="00B316B8">
        <w:rPr>
          <w:rFonts w:ascii="Arial" w:hAnsi="Arial" w:cs="Arial"/>
          <w:b/>
          <w:bCs/>
          <w:u w:val="single"/>
        </w:rPr>
        <w:t>Changes to the Campaign Counting Policy</w:t>
      </w:r>
    </w:p>
    <w:p w14:paraId="73958CDF" w14:textId="77777777" w:rsidR="00352D90" w:rsidRPr="00B316B8" w:rsidRDefault="00352D90" w:rsidP="00352D90">
      <w:pPr>
        <w:pStyle w:val="NoSpacing"/>
        <w:spacing w:line="264" w:lineRule="auto"/>
        <w:rPr>
          <w:rFonts w:ascii="Arial" w:hAnsi="Arial" w:cs="Arial"/>
          <w:b/>
          <w:bCs/>
          <w:u w:val="single"/>
        </w:rPr>
      </w:pPr>
    </w:p>
    <w:p w14:paraId="65DB05BC" w14:textId="5B433180" w:rsidR="00F758A2" w:rsidRPr="00B316B8" w:rsidRDefault="00B43359" w:rsidP="00352D90">
      <w:pPr>
        <w:pStyle w:val="NoSpacing"/>
        <w:spacing w:line="264" w:lineRule="auto"/>
        <w:rPr>
          <w:rFonts w:ascii="Arial" w:hAnsi="Arial" w:cs="Arial"/>
        </w:rPr>
      </w:pPr>
      <w:r w:rsidRPr="00B316B8">
        <w:rPr>
          <w:rFonts w:ascii="Arial" w:hAnsi="Arial" w:cs="Arial"/>
        </w:rPr>
        <w:t xml:space="preserve">This policy shall be </w:t>
      </w:r>
      <w:r w:rsidR="00245AC3" w:rsidRPr="00B316B8">
        <w:rPr>
          <w:rFonts w:ascii="Arial" w:hAnsi="Arial" w:cs="Arial"/>
        </w:rPr>
        <w:t>approved</w:t>
      </w:r>
      <w:r w:rsidR="00F758A2" w:rsidRPr="00B316B8">
        <w:rPr>
          <w:rFonts w:ascii="Arial" w:hAnsi="Arial" w:cs="Arial"/>
        </w:rPr>
        <w:t xml:space="preserve"> by the </w:t>
      </w:r>
      <w:r w:rsidR="00095C2D" w:rsidRPr="00B316B8">
        <w:rPr>
          <w:rFonts w:ascii="Arial" w:hAnsi="Arial" w:cs="Arial"/>
        </w:rPr>
        <w:t>TSC Alliance</w:t>
      </w:r>
      <w:r w:rsidR="00F758A2" w:rsidRPr="00B316B8">
        <w:rPr>
          <w:rFonts w:ascii="Arial" w:hAnsi="Arial" w:cs="Arial"/>
        </w:rPr>
        <w:t xml:space="preserve"> Board of </w:t>
      </w:r>
      <w:r w:rsidR="004C6114" w:rsidRPr="00B316B8">
        <w:rPr>
          <w:rFonts w:ascii="Arial" w:hAnsi="Arial" w:cs="Arial"/>
        </w:rPr>
        <w:t>Directors</w:t>
      </w:r>
      <w:r w:rsidR="00F758A2" w:rsidRPr="00B316B8">
        <w:rPr>
          <w:rFonts w:ascii="Arial" w:hAnsi="Arial" w:cs="Arial"/>
        </w:rPr>
        <w:t>. The Gift Committee will receive and review any proposed amendments to or deviations from this policy and forward them as appropriate for Board approval. The Gift Committee will conduct an annual review of this policy at the beginning of each calendar year</w:t>
      </w:r>
      <w:r w:rsidR="005860BE" w:rsidRPr="00B316B8">
        <w:rPr>
          <w:rFonts w:ascii="Arial" w:hAnsi="Arial" w:cs="Arial"/>
        </w:rPr>
        <w:t xml:space="preserve"> during the lifetime of the current campaign</w:t>
      </w:r>
      <w:r w:rsidR="00F758A2" w:rsidRPr="00B316B8">
        <w:rPr>
          <w:rFonts w:ascii="Arial" w:hAnsi="Arial" w:cs="Arial"/>
        </w:rPr>
        <w:t>.</w:t>
      </w:r>
    </w:p>
    <w:p w14:paraId="3CD60664" w14:textId="0E4F7977" w:rsidR="00B43359" w:rsidRPr="00B316B8" w:rsidRDefault="00B43359" w:rsidP="00352D90">
      <w:pPr>
        <w:pStyle w:val="NoSpacing"/>
        <w:spacing w:line="264" w:lineRule="auto"/>
        <w:rPr>
          <w:rFonts w:ascii="Arial" w:hAnsi="Arial" w:cs="Arial"/>
        </w:rPr>
      </w:pPr>
    </w:p>
    <w:p w14:paraId="1123736B" w14:textId="77777777" w:rsidR="00F758A2" w:rsidRPr="00B316B8" w:rsidRDefault="00F758A2" w:rsidP="00352D90">
      <w:pPr>
        <w:pStyle w:val="NoSpacing"/>
        <w:spacing w:line="264" w:lineRule="auto"/>
        <w:rPr>
          <w:rFonts w:ascii="Arial" w:hAnsi="Arial" w:cs="Arial"/>
        </w:rPr>
      </w:pPr>
    </w:p>
    <w:sectPr w:rsidR="00F758A2" w:rsidRPr="00B316B8" w:rsidSect="004643A4">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AC54A" w14:textId="77777777" w:rsidR="00A53B95" w:rsidRDefault="00A53B95" w:rsidP="00366D46">
      <w:r>
        <w:separator/>
      </w:r>
    </w:p>
  </w:endnote>
  <w:endnote w:type="continuationSeparator" w:id="0">
    <w:p w14:paraId="7A129574" w14:textId="77777777" w:rsidR="00A53B95" w:rsidRDefault="00A53B95" w:rsidP="0036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E929" w14:textId="77777777" w:rsidR="00366D46" w:rsidRDefault="00366D46" w:rsidP="006D5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7595">
      <w:rPr>
        <w:rStyle w:val="PageNumber"/>
        <w:noProof/>
      </w:rPr>
      <w:t>3</w:t>
    </w:r>
    <w:r>
      <w:rPr>
        <w:rStyle w:val="PageNumber"/>
      </w:rPr>
      <w:fldChar w:fldCharType="end"/>
    </w:r>
  </w:p>
  <w:p w14:paraId="5F9AA8C0" w14:textId="77777777" w:rsidR="00366D46" w:rsidRDefault="00366D46" w:rsidP="00366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4245022"/>
      <w:docPartObj>
        <w:docPartGallery w:val="Page Numbers (Bottom of Page)"/>
        <w:docPartUnique/>
      </w:docPartObj>
    </w:sdtPr>
    <w:sdtEndPr>
      <w:rPr>
        <w:rFonts w:ascii="Arial" w:hAnsi="Arial" w:cs="Arial"/>
        <w:noProof/>
        <w:sz w:val="20"/>
        <w:szCs w:val="20"/>
      </w:rPr>
    </w:sdtEndPr>
    <w:sdtContent>
      <w:p w14:paraId="4C5B478E" w14:textId="597E8C40" w:rsidR="00352D90" w:rsidRPr="00352D90" w:rsidRDefault="00352D90">
        <w:pPr>
          <w:pStyle w:val="Footer"/>
          <w:jc w:val="right"/>
          <w:rPr>
            <w:rFonts w:ascii="Arial" w:hAnsi="Arial" w:cs="Arial"/>
            <w:sz w:val="20"/>
            <w:szCs w:val="20"/>
          </w:rPr>
        </w:pPr>
        <w:r w:rsidRPr="00352D90">
          <w:rPr>
            <w:rFonts w:ascii="Arial" w:hAnsi="Arial" w:cs="Arial"/>
            <w:sz w:val="20"/>
            <w:szCs w:val="20"/>
          </w:rPr>
          <w:fldChar w:fldCharType="begin"/>
        </w:r>
        <w:r w:rsidRPr="00352D90">
          <w:rPr>
            <w:rFonts w:ascii="Arial" w:hAnsi="Arial" w:cs="Arial"/>
            <w:sz w:val="20"/>
            <w:szCs w:val="20"/>
          </w:rPr>
          <w:instrText xml:space="preserve"> PAGE   \* MERGEFORMAT </w:instrText>
        </w:r>
        <w:r w:rsidRPr="00352D90">
          <w:rPr>
            <w:rFonts w:ascii="Arial" w:hAnsi="Arial" w:cs="Arial"/>
            <w:sz w:val="20"/>
            <w:szCs w:val="20"/>
          </w:rPr>
          <w:fldChar w:fldCharType="separate"/>
        </w:r>
        <w:r w:rsidRPr="00352D90">
          <w:rPr>
            <w:rFonts w:ascii="Arial" w:hAnsi="Arial" w:cs="Arial"/>
            <w:noProof/>
            <w:sz w:val="20"/>
            <w:szCs w:val="20"/>
          </w:rPr>
          <w:t>2</w:t>
        </w:r>
        <w:r w:rsidRPr="00352D90">
          <w:rPr>
            <w:rFonts w:ascii="Arial" w:hAnsi="Arial" w:cs="Arial"/>
            <w:noProof/>
            <w:sz w:val="20"/>
            <w:szCs w:val="20"/>
          </w:rPr>
          <w:fldChar w:fldCharType="end"/>
        </w:r>
      </w:p>
    </w:sdtContent>
  </w:sdt>
  <w:p w14:paraId="22B341C2" w14:textId="77777777" w:rsidR="00352D90" w:rsidRDefault="00352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FFE97" w14:textId="77777777" w:rsidR="00A53B95" w:rsidRDefault="00A53B95" w:rsidP="00366D46">
      <w:r>
        <w:separator/>
      </w:r>
    </w:p>
  </w:footnote>
  <w:footnote w:type="continuationSeparator" w:id="0">
    <w:p w14:paraId="71B80331" w14:textId="77777777" w:rsidR="00A53B95" w:rsidRDefault="00A53B95" w:rsidP="00366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2F8"/>
    <w:multiLevelType w:val="hybridMultilevel"/>
    <w:tmpl w:val="12709810"/>
    <w:lvl w:ilvl="0" w:tplc="645ECD2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46F86"/>
    <w:multiLevelType w:val="hybridMultilevel"/>
    <w:tmpl w:val="843C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D2768"/>
    <w:multiLevelType w:val="hybridMultilevel"/>
    <w:tmpl w:val="F9D617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324A3"/>
    <w:multiLevelType w:val="hybridMultilevel"/>
    <w:tmpl w:val="84B22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7005A"/>
    <w:multiLevelType w:val="hybridMultilevel"/>
    <w:tmpl w:val="71322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56582"/>
    <w:multiLevelType w:val="hybridMultilevel"/>
    <w:tmpl w:val="EAE88BF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A0D8F"/>
    <w:multiLevelType w:val="hybridMultilevel"/>
    <w:tmpl w:val="D472B9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8805A1"/>
    <w:multiLevelType w:val="hybridMultilevel"/>
    <w:tmpl w:val="6096F2FC"/>
    <w:lvl w:ilvl="0" w:tplc="08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B39069D"/>
    <w:multiLevelType w:val="hybridMultilevel"/>
    <w:tmpl w:val="AE2432EA"/>
    <w:lvl w:ilvl="0" w:tplc="04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E16C6D"/>
    <w:multiLevelType w:val="hybridMultilevel"/>
    <w:tmpl w:val="C524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A5F86"/>
    <w:multiLevelType w:val="hybridMultilevel"/>
    <w:tmpl w:val="882EB6F6"/>
    <w:lvl w:ilvl="0" w:tplc="F196BAB6">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F755A"/>
    <w:multiLevelType w:val="hybridMultilevel"/>
    <w:tmpl w:val="BDCA865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939BD"/>
    <w:multiLevelType w:val="hybridMultilevel"/>
    <w:tmpl w:val="9EA6CD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2D4719"/>
    <w:multiLevelType w:val="hybridMultilevel"/>
    <w:tmpl w:val="83F008A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19F6A9B"/>
    <w:multiLevelType w:val="hybridMultilevel"/>
    <w:tmpl w:val="2D322F64"/>
    <w:lvl w:ilvl="0" w:tplc="04090019">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9">
      <w:start w:val="1"/>
      <w:numFmt w:val="lowerLetter"/>
      <w:lvlText w:val="%3."/>
      <w:lvlJc w:val="lef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95D65D9"/>
    <w:multiLevelType w:val="hybridMultilevel"/>
    <w:tmpl w:val="82A439D4"/>
    <w:lvl w:ilvl="0" w:tplc="9DBE08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50F6B"/>
    <w:multiLevelType w:val="hybridMultilevel"/>
    <w:tmpl w:val="378EAD42"/>
    <w:lvl w:ilvl="0" w:tplc="0409001B">
      <w:start w:val="1"/>
      <w:numFmt w:val="lowerRoman"/>
      <w:lvlText w:val="%1."/>
      <w:lvlJc w:val="right"/>
      <w:pPr>
        <w:ind w:left="2302" w:hanging="360"/>
      </w:pPr>
    </w:lvl>
    <w:lvl w:ilvl="1" w:tplc="04090019" w:tentative="1">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tentative="1">
      <w:start w:val="1"/>
      <w:numFmt w:val="decimal"/>
      <w:lvlText w:val="%4."/>
      <w:lvlJc w:val="left"/>
      <w:pPr>
        <w:ind w:left="4462" w:hanging="360"/>
      </w:pPr>
    </w:lvl>
    <w:lvl w:ilvl="4" w:tplc="04090019" w:tentative="1">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7" w15:restartNumberingAfterBreak="0">
    <w:nsid w:val="3F3A4C50"/>
    <w:multiLevelType w:val="hybridMultilevel"/>
    <w:tmpl w:val="D04A35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FA7F69"/>
    <w:multiLevelType w:val="hybridMultilevel"/>
    <w:tmpl w:val="812A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02BA5"/>
    <w:multiLevelType w:val="hybridMultilevel"/>
    <w:tmpl w:val="2E2224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2020AD"/>
    <w:multiLevelType w:val="hybridMultilevel"/>
    <w:tmpl w:val="6396D736"/>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45AA3BB0"/>
    <w:multiLevelType w:val="hybridMultilevel"/>
    <w:tmpl w:val="6576F1AE"/>
    <w:lvl w:ilvl="0" w:tplc="19649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D07DD2"/>
    <w:multiLevelType w:val="hybridMultilevel"/>
    <w:tmpl w:val="6B7832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8396505"/>
    <w:multiLevelType w:val="hybridMultilevel"/>
    <w:tmpl w:val="6B54D6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8F310E"/>
    <w:multiLevelType w:val="hybridMultilevel"/>
    <w:tmpl w:val="BF26AC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DD0CD3"/>
    <w:multiLevelType w:val="hybridMultilevel"/>
    <w:tmpl w:val="3C6A14BA"/>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C61AE2"/>
    <w:multiLevelType w:val="hybridMultilevel"/>
    <w:tmpl w:val="C11A79C0"/>
    <w:lvl w:ilvl="0" w:tplc="08090015">
      <w:start w:val="1"/>
      <w:numFmt w:val="upperLetter"/>
      <w:lvlText w:val="%1."/>
      <w:lvlJc w:val="left"/>
      <w:pPr>
        <w:ind w:left="1440" w:hanging="360"/>
      </w:pPr>
    </w:lvl>
    <w:lvl w:ilvl="1" w:tplc="0809001B">
      <w:start w:val="1"/>
      <w:numFmt w:val="lowerRoman"/>
      <w:lvlText w:val="%2."/>
      <w:lvlJc w:val="right"/>
      <w:pPr>
        <w:ind w:left="2160" w:hanging="360"/>
      </w:pPr>
    </w:lvl>
    <w:lvl w:ilvl="2" w:tplc="37F86C54">
      <w:start w:val="1"/>
      <w:numFmt w:val="lowerLetter"/>
      <w:lvlText w:val="%3."/>
      <w:lvlJc w:val="left"/>
      <w:pPr>
        <w:ind w:left="3060" w:hanging="360"/>
      </w:pPr>
      <w:rPr>
        <w:rFonts w:hint="default"/>
      </w:rPr>
    </w:lvl>
    <w:lvl w:ilvl="3" w:tplc="1B563512">
      <w:start w:val="1"/>
      <w:numFmt w:val="decimal"/>
      <w:lvlText w:val="%4."/>
      <w:lvlJc w:val="left"/>
      <w:pPr>
        <w:ind w:left="3600" w:hanging="360"/>
      </w:pPr>
      <w:rPr>
        <w:rFonts w:hint="default"/>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50F6E49"/>
    <w:multiLevelType w:val="hybridMultilevel"/>
    <w:tmpl w:val="568801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040B66"/>
    <w:multiLevelType w:val="hybridMultilevel"/>
    <w:tmpl w:val="7794E9DC"/>
    <w:lvl w:ilvl="0" w:tplc="8E9EB4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B77A2"/>
    <w:multiLevelType w:val="hybridMultilevel"/>
    <w:tmpl w:val="98FEED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48B0"/>
    <w:multiLevelType w:val="hybridMultilevel"/>
    <w:tmpl w:val="6576F1AE"/>
    <w:lvl w:ilvl="0" w:tplc="19649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94087F"/>
    <w:multiLevelType w:val="hybridMultilevel"/>
    <w:tmpl w:val="9FCAB182"/>
    <w:lvl w:ilvl="0" w:tplc="04090017">
      <w:start w:val="1"/>
      <w:numFmt w:val="low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5D4F93"/>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1ED0A60"/>
    <w:multiLevelType w:val="hybridMultilevel"/>
    <w:tmpl w:val="38161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9B02C8"/>
    <w:multiLevelType w:val="hybridMultilevel"/>
    <w:tmpl w:val="DC74C6D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D75331"/>
    <w:multiLevelType w:val="hybridMultilevel"/>
    <w:tmpl w:val="897A75B4"/>
    <w:lvl w:ilvl="0" w:tplc="269699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AC1E2C"/>
    <w:multiLevelType w:val="hybridMultilevel"/>
    <w:tmpl w:val="886AA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B8338C"/>
    <w:multiLevelType w:val="hybridMultilevel"/>
    <w:tmpl w:val="1370EEF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FCB7EFF"/>
    <w:multiLevelType w:val="hybridMultilevel"/>
    <w:tmpl w:val="B2087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F6BF2"/>
    <w:multiLevelType w:val="hybridMultilevel"/>
    <w:tmpl w:val="A55AF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BE86D606">
      <w:start w:val="1"/>
      <w:numFmt w:val="decimal"/>
      <w:lvlText w:val="%4."/>
      <w:lvlJc w:val="left"/>
      <w:pPr>
        <w:ind w:left="2880" w:hanging="360"/>
      </w:pPr>
      <w:rPr>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D733D6"/>
    <w:multiLevelType w:val="hybridMultilevel"/>
    <w:tmpl w:val="A6E420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693133"/>
    <w:multiLevelType w:val="hybridMultilevel"/>
    <w:tmpl w:val="3656F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4995787">
    <w:abstractNumId w:val="36"/>
  </w:num>
  <w:num w:numId="2" w16cid:durableId="77678719">
    <w:abstractNumId w:val="4"/>
  </w:num>
  <w:num w:numId="3" w16cid:durableId="885071255">
    <w:abstractNumId w:val="24"/>
  </w:num>
  <w:num w:numId="4" w16cid:durableId="958031292">
    <w:abstractNumId w:val="3"/>
  </w:num>
  <w:num w:numId="5" w16cid:durableId="1868522193">
    <w:abstractNumId w:val="27"/>
  </w:num>
  <w:num w:numId="6" w16cid:durableId="1740709580">
    <w:abstractNumId w:val="1"/>
  </w:num>
  <w:num w:numId="7" w16cid:durableId="952008252">
    <w:abstractNumId w:val="23"/>
  </w:num>
  <w:num w:numId="8" w16cid:durableId="1785534357">
    <w:abstractNumId w:val="18"/>
  </w:num>
  <w:num w:numId="9" w16cid:durableId="962887396">
    <w:abstractNumId w:val="9"/>
  </w:num>
  <w:num w:numId="10" w16cid:durableId="192037460">
    <w:abstractNumId w:val="0"/>
  </w:num>
  <w:num w:numId="11" w16cid:durableId="490676755">
    <w:abstractNumId w:val="28"/>
  </w:num>
  <w:num w:numId="12" w16cid:durableId="1237789628">
    <w:abstractNumId w:val="37"/>
  </w:num>
  <w:num w:numId="13" w16cid:durableId="2132818797">
    <w:abstractNumId w:val="5"/>
  </w:num>
  <w:num w:numId="14" w16cid:durableId="200754651">
    <w:abstractNumId w:val="32"/>
  </w:num>
  <w:num w:numId="15" w16cid:durableId="597838026">
    <w:abstractNumId w:val="21"/>
  </w:num>
  <w:num w:numId="16" w16cid:durableId="291639712">
    <w:abstractNumId w:val="19"/>
  </w:num>
  <w:num w:numId="17" w16cid:durableId="632710609">
    <w:abstractNumId w:val="6"/>
  </w:num>
  <w:num w:numId="18" w16cid:durableId="1539972990">
    <w:abstractNumId w:val="31"/>
  </w:num>
  <w:num w:numId="19" w16cid:durableId="1383942595">
    <w:abstractNumId w:val="13"/>
  </w:num>
  <w:num w:numId="20" w16cid:durableId="1862011654">
    <w:abstractNumId w:val="12"/>
  </w:num>
  <w:num w:numId="21" w16cid:durableId="689183327">
    <w:abstractNumId w:val="17"/>
  </w:num>
  <w:num w:numId="22" w16cid:durableId="794830599">
    <w:abstractNumId w:val="22"/>
  </w:num>
  <w:num w:numId="23" w16cid:durableId="599531612">
    <w:abstractNumId w:val="34"/>
  </w:num>
  <w:num w:numId="24" w16cid:durableId="403070704">
    <w:abstractNumId w:val="25"/>
  </w:num>
  <w:num w:numId="25" w16cid:durableId="899287975">
    <w:abstractNumId w:val="7"/>
  </w:num>
  <w:num w:numId="26" w16cid:durableId="198594608">
    <w:abstractNumId w:val="26"/>
  </w:num>
  <w:num w:numId="27" w16cid:durableId="2060014435">
    <w:abstractNumId w:val="14"/>
  </w:num>
  <w:num w:numId="28" w16cid:durableId="645823590">
    <w:abstractNumId w:val="33"/>
  </w:num>
  <w:num w:numId="29" w16cid:durableId="1184977038">
    <w:abstractNumId w:val="41"/>
  </w:num>
  <w:num w:numId="30" w16cid:durableId="1000814621">
    <w:abstractNumId w:val="8"/>
  </w:num>
  <w:num w:numId="31" w16cid:durableId="1631521313">
    <w:abstractNumId w:val="39"/>
  </w:num>
  <w:num w:numId="32" w16cid:durableId="291786282">
    <w:abstractNumId w:val="35"/>
  </w:num>
  <w:num w:numId="33" w16cid:durableId="362750074">
    <w:abstractNumId w:val="16"/>
  </w:num>
  <w:num w:numId="34" w16cid:durableId="189339222">
    <w:abstractNumId w:val="20"/>
  </w:num>
  <w:num w:numId="35" w16cid:durableId="1299602946">
    <w:abstractNumId w:val="30"/>
  </w:num>
  <w:num w:numId="36" w16cid:durableId="1163350493">
    <w:abstractNumId w:val="10"/>
  </w:num>
  <w:num w:numId="37" w16cid:durableId="1023092392">
    <w:abstractNumId w:val="15"/>
  </w:num>
  <w:num w:numId="38" w16cid:durableId="455028753">
    <w:abstractNumId w:val="2"/>
  </w:num>
  <w:num w:numId="39" w16cid:durableId="1060517039">
    <w:abstractNumId w:val="40"/>
  </w:num>
  <w:num w:numId="40" w16cid:durableId="729883297">
    <w:abstractNumId w:val="29"/>
  </w:num>
  <w:num w:numId="41" w16cid:durableId="1671710808">
    <w:abstractNumId w:val="38"/>
  </w:num>
  <w:num w:numId="42" w16cid:durableId="137710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C7E"/>
    <w:rsid w:val="000022D3"/>
    <w:rsid w:val="00015835"/>
    <w:rsid w:val="00022D54"/>
    <w:rsid w:val="0004473D"/>
    <w:rsid w:val="00063BBC"/>
    <w:rsid w:val="00073D98"/>
    <w:rsid w:val="00095C2D"/>
    <w:rsid w:val="0009706C"/>
    <w:rsid w:val="000A0353"/>
    <w:rsid w:val="000B457D"/>
    <w:rsid w:val="000B7DE6"/>
    <w:rsid w:val="000C3D0B"/>
    <w:rsid w:val="000D5EC5"/>
    <w:rsid w:val="000E305E"/>
    <w:rsid w:val="000F4ADA"/>
    <w:rsid w:val="000F777D"/>
    <w:rsid w:val="000F7920"/>
    <w:rsid w:val="00127D50"/>
    <w:rsid w:val="00131376"/>
    <w:rsid w:val="00146CC1"/>
    <w:rsid w:val="0015167B"/>
    <w:rsid w:val="00160A86"/>
    <w:rsid w:val="0016345D"/>
    <w:rsid w:val="0016382D"/>
    <w:rsid w:val="00171416"/>
    <w:rsid w:val="00172747"/>
    <w:rsid w:val="001A3C61"/>
    <w:rsid w:val="001A432F"/>
    <w:rsid w:val="001A7D00"/>
    <w:rsid w:val="001B2D8B"/>
    <w:rsid w:val="001B5BA9"/>
    <w:rsid w:val="001C0CE1"/>
    <w:rsid w:val="001C1524"/>
    <w:rsid w:val="001C3D50"/>
    <w:rsid w:val="001C5B63"/>
    <w:rsid w:val="001D0D44"/>
    <w:rsid w:val="001D1B0F"/>
    <w:rsid w:val="001D5D1C"/>
    <w:rsid w:val="001E382F"/>
    <w:rsid w:val="001F48C5"/>
    <w:rsid w:val="0020043D"/>
    <w:rsid w:val="0023242D"/>
    <w:rsid w:val="00232884"/>
    <w:rsid w:val="00235348"/>
    <w:rsid w:val="00244C10"/>
    <w:rsid w:val="00245AC3"/>
    <w:rsid w:val="00252EA9"/>
    <w:rsid w:val="00262319"/>
    <w:rsid w:val="00276DE8"/>
    <w:rsid w:val="00285905"/>
    <w:rsid w:val="002956D8"/>
    <w:rsid w:val="002A48B5"/>
    <w:rsid w:val="002B57D4"/>
    <w:rsid w:val="002C1961"/>
    <w:rsid w:val="002E7FE4"/>
    <w:rsid w:val="002F0911"/>
    <w:rsid w:val="002F6439"/>
    <w:rsid w:val="002F74B7"/>
    <w:rsid w:val="00303FE9"/>
    <w:rsid w:val="003211CC"/>
    <w:rsid w:val="003217FA"/>
    <w:rsid w:val="003308FC"/>
    <w:rsid w:val="003337FC"/>
    <w:rsid w:val="00333F6B"/>
    <w:rsid w:val="0033470E"/>
    <w:rsid w:val="003411EC"/>
    <w:rsid w:val="003471BA"/>
    <w:rsid w:val="00347440"/>
    <w:rsid w:val="00351EAD"/>
    <w:rsid w:val="00351F03"/>
    <w:rsid w:val="00352990"/>
    <w:rsid w:val="00352D90"/>
    <w:rsid w:val="00355E32"/>
    <w:rsid w:val="003615A5"/>
    <w:rsid w:val="00366D46"/>
    <w:rsid w:val="00383BF0"/>
    <w:rsid w:val="00386D31"/>
    <w:rsid w:val="00390B1A"/>
    <w:rsid w:val="003B6C09"/>
    <w:rsid w:val="003C79AC"/>
    <w:rsid w:val="003D2C01"/>
    <w:rsid w:val="003E66A9"/>
    <w:rsid w:val="00401E75"/>
    <w:rsid w:val="00402D10"/>
    <w:rsid w:val="00423D30"/>
    <w:rsid w:val="0042618B"/>
    <w:rsid w:val="00436FD8"/>
    <w:rsid w:val="00437A5B"/>
    <w:rsid w:val="00444421"/>
    <w:rsid w:val="0045431C"/>
    <w:rsid w:val="00455650"/>
    <w:rsid w:val="004643A4"/>
    <w:rsid w:val="0047666D"/>
    <w:rsid w:val="004771B6"/>
    <w:rsid w:val="004801A6"/>
    <w:rsid w:val="00483CAA"/>
    <w:rsid w:val="00484AAB"/>
    <w:rsid w:val="004A7FF4"/>
    <w:rsid w:val="004B2911"/>
    <w:rsid w:val="004C3B9F"/>
    <w:rsid w:val="004C6114"/>
    <w:rsid w:val="004E5DDD"/>
    <w:rsid w:val="004E7595"/>
    <w:rsid w:val="004F4A1D"/>
    <w:rsid w:val="00502AE9"/>
    <w:rsid w:val="00504B02"/>
    <w:rsid w:val="005141E7"/>
    <w:rsid w:val="00532600"/>
    <w:rsid w:val="00550A1F"/>
    <w:rsid w:val="005540EB"/>
    <w:rsid w:val="0057087E"/>
    <w:rsid w:val="00571224"/>
    <w:rsid w:val="005736F6"/>
    <w:rsid w:val="005766BA"/>
    <w:rsid w:val="00585399"/>
    <w:rsid w:val="005860BE"/>
    <w:rsid w:val="005873A2"/>
    <w:rsid w:val="00594E6A"/>
    <w:rsid w:val="005B53CE"/>
    <w:rsid w:val="005E34F5"/>
    <w:rsid w:val="00604947"/>
    <w:rsid w:val="0062038F"/>
    <w:rsid w:val="00622528"/>
    <w:rsid w:val="00624755"/>
    <w:rsid w:val="006334FF"/>
    <w:rsid w:val="00636816"/>
    <w:rsid w:val="00647083"/>
    <w:rsid w:val="00651720"/>
    <w:rsid w:val="00671A38"/>
    <w:rsid w:val="00672DD2"/>
    <w:rsid w:val="00674CA2"/>
    <w:rsid w:val="00675566"/>
    <w:rsid w:val="0068074A"/>
    <w:rsid w:val="00680F90"/>
    <w:rsid w:val="00682CA5"/>
    <w:rsid w:val="006841A8"/>
    <w:rsid w:val="006A58D2"/>
    <w:rsid w:val="006C37F9"/>
    <w:rsid w:val="006C4630"/>
    <w:rsid w:val="006C4FCC"/>
    <w:rsid w:val="006C70C4"/>
    <w:rsid w:val="006D7A6C"/>
    <w:rsid w:val="006F6835"/>
    <w:rsid w:val="00711CB3"/>
    <w:rsid w:val="007200B8"/>
    <w:rsid w:val="007216B8"/>
    <w:rsid w:val="00723CD7"/>
    <w:rsid w:val="00734C82"/>
    <w:rsid w:val="00734E5E"/>
    <w:rsid w:val="007523D0"/>
    <w:rsid w:val="0079025A"/>
    <w:rsid w:val="007A3043"/>
    <w:rsid w:val="007A772D"/>
    <w:rsid w:val="007B7AE3"/>
    <w:rsid w:val="007C0D4E"/>
    <w:rsid w:val="007E7AFA"/>
    <w:rsid w:val="007F4DCB"/>
    <w:rsid w:val="0080042E"/>
    <w:rsid w:val="00807F97"/>
    <w:rsid w:val="008100D8"/>
    <w:rsid w:val="00851E70"/>
    <w:rsid w:val="00883C11"/>
    <w:rsid w:val="008852B9"/>
    <w:rsid w:val="00896479"/>
    <w:rsid w:val="008A5EF2"/>
    <w:rsid w:val="008B1D1F"/>
    <w:rsid w:val="008B6B1C"/>
    <w:rsid w:val="008C0717"/>
    <w:rsid w:val="008C3F27"/>
    <w:rsid w:val="008D4D93"/>
    <w:rsid w:val="008E0C7E"/>
    <w:rsid w:val="008E1AAF"/>
    <w:rsid w:val="008E418C"/>
    <w:rsid w:val="0091206B"/>
    <w:rsid w:val="009149B6"/>
    <w:rsid w:val="009315E1"/>
    <w:rsid w:val="00931A78"/>
    <w:rsid w:val="009328A8"/>
    <w:rsid w:val="00945DAA"/>
    <w:rsid w:val="00971F93"/>
    <w:rsid w:val="00973A67"/>
    <w:rsid w:val="00973E77"/>
    <w:rsid w:val="009835A0"/>
    <w:rsid w:val="00993E66"/>
    <w:rsid w:val="009B5981"/>
    <w:rsid w:val="009B7D06"/>
    <w:rsid w:val="009C1095"/>
    <w:rsid w:val="009D77E4"/>
    <w:rsid w:val="00A03A52"/>
    <w:rsid w:val="00A1536B"/>
    <w:rsid w:val="00A3008A"/>
    <w:rsid w:val="00A33085"/>
    <w:rsid w:val="00A4378B"/>
    <w:rsid w:val="00A50BB1"/>
    <w:rsid w:val="00A5334A"/>
    <w:rsid w:val="00A537A5"/>
    <w:rsid w:val="00A53861"/>
    <w:rsid w:val="00A53B95"/>
    <w:rsid w:val="00A60B73"/>
    <w:rsid w:val="00A61781"/>
    <w:rsid w:val="00A7274E"/>
    <w:rsid w:val="00AA1011"/>
    <w:rsid w:val="00AB2E08"/>
    <w:rsid w:val="00AB4794"/>
    <w:rsid w:val="00AC4E8D"/>
    <w:rsid w:val="00AE0802"/>
    <w:rsid w:val="00AE349C"/>
    <w:rsid w:val="00AF1BA4"/>
    <w:rsid w:val="00AF2997"/>
    <w:rsid w:val="00AF7D6A"/>
    <w:rsid w:val="00B069CC"/>
    <w:rsid w:val="00B12379"/>
    <w:rsid w:val="00B2510E"/>
    <w:rsid w:val="00B316B8"/>
    <w:rsid w:val="00B36C95"/>
    <w:rsid w:val="00B43359"/>
    <w:rsid w:val="00B53B26"/>
    <w:rsid w:val="00B70EF9"/>
    <w:rsid w:val="00B82107"/>
    <w:rsid w:val="00B87D98"/>
    <w:rsid w:val="00BA105C"/>
    <w:rsid w:val="00BE0762"/>
    <w:rsid w:val="00BE1BAB"/>
    <w:rsid w:val="00BE677A"/>
    <w:rsid w:val="00C00003"/>
    <w:rsid w:val="00C03099"/>
    <w:rsid w:val="00C067CC"/>
    <w:rsid w:val="00C06856"/>
    <w:rsid w:val="00C12A83"/>
    <w:rsid w:val="00C13984"/>
    <w:rsid w:val="00C238CD"/>
    <w:rsid w:val="00C30D7B"/>
    <w:rsid w:val="00C357BF"/>
    <w:rsid w:val="00C37B35"/>
    <w:rsid w:val="00C60B97"/>
    <w:rsid w:val="00C72E02"/>
    <w:rsid w:val="00C74060"/>
    <w:rsid w:val="00C75B66"/>
    <w:rsid w:val="00C806D9"/>
    <w:rsid w:val="00CB2B18"/>
    <w:rsid w:val="00CC25F6"/>
    <w:rsid w:val="00CE0516"/>
    <w:rsid w:val="00CE6843"/>
    <w:rsid w:val="00CF2A78"/>
    <w:rsid w:val="00D12A71"/>
    <w:rsid w:val="00D33867"/>
    <w:rsid w:val="00D3667A"/>
    <w:rsid w:val="00D366D3"/>
    <w:rsid w:val="00D36CB1"/>
    <w:rsid w:val="00D45EF4"/>
    <w:rsid w:val="00D620D7"/>
    <w:rsid w:val="00D7155B"/>
    <w:rsid w:val="00D8657D"/>
    <w:rsid w:val="00D928CA"/>
    <w:rsid w:val="00DA246A"/>
    <w:rsid w:val="00DA538B"/>
    <w:rsid w:val="00DC2693"/>
    <w:rsid w:val="00DD239D"/>
    <w:rsid w:val="00DD4D02"/>
    <w:rsid w:val="00DE1E1A"/>
    <w:rsid w:val="00DF25A3"/>
    <w:rsid w:val="00E03F63"/>
    <w:rsid w:val="00E13E0B"/>
    <w:rsid w:val="00E20A7C"/>
    <w:rsid w:val="00E23452"/>
    <w:rsid w:val="00E338E3"/>
    <w:rsid w:val="00E34D7E"/>
    <w:rsid w:val="00E63EE3"/>
    <w:rsid w:val="00E7293F"/>
    <w:rsid w:val="00E817ED"/>
    <w:rsid w:val="00EA0472"/>
    <w:rsid w:val="00EA5CF5"/>
    <w:rsid w:val="00EA6356"/>
    <w:rsid w:val="00EB150B"/>
    <w:rsid w:val="00EB4083"/>
    <w:rsid w:val="00EC7B9F"/>
    <w:rsid w:val="00EC7EFB"/>
    <w:rsid w:val="00EE12B9"/>
    <w:rsid w:val="00EE4DC9"/>
    <w:rsid w:val="00EF212F"/>
    <w:rsid w:val="00F025B3"/>
    <w:rsid w:val="00F3250F"/>
    <w:rsid w:val="00F40A09"/>
    <w:rsid w:val="00F43D4E"/>
    <w:rsid w:val="00F54DA4"/>
    <w:rsid w:val="00F758A2"/>
    <w:rsid w:val="00F776F4"/>
    <w:rsid w:val="00F8200D"/>
    <w:rsid w:val="00F86C89"/>
    <w:rsid w:val="00FA1FD0"/>
    <w:rsid w:val="00FA5B3D"/>
    <w:rsid w:val="00FA6999"/>
    <w:rsid w:val="00FA6C6A"/>
    <w:rsid w:val="00FA70FC"/>
    <w:rsid w:val="00FC4793"/>
    <w:rsid w:val="00FD0B42"/>
    <w:rsid w:val="00FE0A47"/>
    <w:rsid w:val="00FE2335"/>
    <w:rsid w:val="00FE4038"/>
    <w:rsid w:val="00FF499F"/>
    <w:rsid w:val="00FF5BFE"/>
    <w:rsid w:val="00FF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9EE5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4FF"/>
    <w:pPr>
      <w:ind w:left="720"/>
      <w:contextualSpacing/>
    </w:pPr>
  </w:style>
  <w:style w:type="paragraph" w:styleId="Header">
    <w:name w:val="header"/>
    <w:basedOn w:val="Normal"/>
    <w:link w:val="HeaderChar"/>
    <w:uiPriority w:val="99"/>
    <w:unhideWhenUsed/>
    <w:rsid w:val="00366D46"/>
    <w:pPr>
      <w:tabs>
        <w:tab w:val="center" w:pos="4680"/>
        <w:tab w:val="right" w:pos="9360"/>
      </w:tabs>
    </w:pPr>
  </w:style>
  <w:style w:type="character" w:customStyle="1" w:styleId="HeaderChar">
    <w:name w:val="Header Char"/>
    <w:basedOn w:val="DefaultParagraphFont"/>
    <w:link w:val="Header"/>
    <w:uiPriority w:val="99"/>
    <w:rsid w:val="00366D46"/>
  </w:style>
  <w:style w:type="paragraph" w:styleId="Footer">
    <w:name w:val="footer"/>
    <w:basedOn w:val="Normal"/>
    <w:link w:val="FooterChar"/>
    <w:uiPriority w:val="99"/>
    <w:unhideWhenUsed/>
    <w:rsid w:val="00366D46"/>
    <w:pPr>
      <w:tabs>
        <w:tab w:val="center" w:pos="4680"/>
        <w:tab w:val="right" w:pos="9360"/>
      </w:tabs>
    </w:pPr>
  </w:style>
  <w:style w:type="character" w:customStyle="1" w:styleId="FooterChar">
    <w:name w:val="Footer Char"/>
    <w:basedOn w:val="DefaultParagraphFont"/>
    <w:link w:val="Footer"/>
    <w:uiPriority w:val="99"/>
    <w:rsid w:val="00366D46"/>
  </w:style>
  <w:style w:type="character" w:styleId="PageNumber">
    <w:name w:val="page number"/>
    <w:basedOn w:val="DefaultParagraphFont"/>
    <w:uiPriority w:val="99"/>
    <w:semiHidden/>
    <w:unhideWhenUsed/>
    <w:rsid w:val="00366D46"/>
  </w:style>
  <w:style w:type="character" w:styleId="CommentReference">
    <w:name w:val="annotation reference"/>
    <w:uiPriority w:val="99"/>
    <w:semiHidden/>
    <w:rsid w:val="0033470E"/>
    <w:rPr>
      <w:rFonts w:cs="Times New Roman"/>
      <w:sz w:val="16"/>
      <w:szCs w:val="16"/>
    </w:rPr>
  </w:style>
  <w:style w:type="paragraph" w:styleId="CommentText">
    <w:name w:val="annotation text"/>
    <w:basedOn w:val="Normal"/>
    <w:link w:val="CommentTextChar"/>
    <w:uiPriority w:val="99"/>
    <w:semiHidden/>
    <w:rsid w:val="0033470E"/>
    <w:pPr>
      <w:spacing w:after="200"/>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33470E"/>
    <w:rPr>
      <w:rFonts w:ascii="Calibri" w:eastAsia="Calibri" w:hAnsi="Calibri" w:cs="Times New Roman"/>
      <w:sz w:val="20"/>
      <w:szCs w:val="20"/>
      <w:lang w:val="x-none" w:eastAsia="x-none"/>
    </w:rPr>
  </w:style>
  <w:style w:type="paragraph" w:styleId="PlainText">
    <w:name w:val="Plain Text"/>
    <w:basedOn w:val="Normal"/>
    <w:link w:val="PlainTextChar"/>
    <w:uiPriority w:val="99"/>
    <w:unhideWhenUsed/>
    <w:rsid w:val="0033470E"/>
    <w:rPr>
      <w:rFonts w:ascii="Trebuchet MS" w:eastAsia="Times New Roman" w:hAnsi="Trebuchet MS" w:cs="Times New Roman"/>
      <w:sz w:val="21"/>
      <w:szCs w:val="21"/>
      <w:lang w:val="x-none" w:eastAsia="x-none"/>
    </w:rPr>
  </w:style>
  <w:style w:type="character" w:customStyle="1" w:styleId="PlainTextChar">
    <w:name w:val="Plain Text Char"/>
    <w:basedOn w:val="DefaultParagraphFont"/>
    <w:link w:val="PlainText"/>
    <w:uiPriority w:val="99"/>
    <w:rsid w:val="0033470E"/>
    <w:rPr>
      <w:rFonts w:ascii="Trebuchet MS" w:eastAsia="Times New Roman" w:hAnsi="Trebuchet MS" w:cs="Times New Roman"/>
      <w:sz w:val="21"/>
      <w:szCs w:val="21"/>
      <w:lang w:val="x-none" w:eastAsia="x-none"/>
    </w:rPr>
  </w:style>
  <w:style w:type="paragraph" w:styleId="BalloonText">
    <w:name w:val="Balloon Text"/>
    <w:basedOn w:val="Normal"/>
    <w:link w:val="BalloonTextChar"/>
    <w:uiPriority w:val="99"/>
    <w:semiHidden/>
    <w:unhideWhenUsed/>
    <w:rsid w:val="003347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470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D239D"/>
    <w:pPr>
      <w:spacing w:after="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DD239D"/>
    <w:rPr>
      <w:rFonts w:ascii="Calibri" w:eastAsia="Calibri" w:hAnsi="Calibri" w:cs="Times New Roman"/>
      <w:b/>
      <w:bCs/>
      <w:sz w:val="20"/>
      <w:szCs w:val="20"/>
      <w:lang w:val="x-none" w:eastAsia="x-none"/>
    </w:rPr>
  </w:style>
  <w:style w:type="paragraph" w:styleId="NormalWeb">
    <w:name w:val="Normal (Web)"/>
    <w:basedOn w:val="Normal"/>
    <w:uiPriority w:val="99"/>
    <w:rsid w:val="00F758A2"/>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52D90"/>
  </w:style>
  <w:style w:type="paragraph" w:styleId="Revision">
    <w:name w:val="Revision"/>
    <w:hidden/>
    <w:uiPriority w:val="99"/>
    <w:semiHidden/>
    <w:rsid w:val="003D2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DFB4D3B1E6148AE3B215EE7EBE309" ma:contentTypeVersion="16" ma:contentTypeDescription="Create a new document." ma:contentTypeScope="" ma:versionID="81c5226275a13e3491f55cac4f9590bb">
  <xsd:schema xmlns:xsd="http://www.w3.org/2001/XMLSchema" xmlns:xs="http://www.w3.org/2001/XMLSchema" xmlns:p="http://schemas.microsoft.com/office/2006/metadata/properties" xmlns:ns2="ff95baad-6f0b-4e22-ae78-1a2ed7945a88" xmlns:ns3="1af60c89-dc88-4d5f-a6ad-ffaab8ae73d9" xmlns:ns4="28b95dbd-1d90-490c-8970-e79c2d59cb93" targetNamespace="http://schemas.microsoft.com/office/2006/metadata/properties" ma:root="true" ma:fieldsID="916067f6a1f08182bdcf83115972dcf6" ns2:_="" ns3:_="" ns4:_="">
    <xsd:import namespace="ff95baad-6f0b-4e22-ae78-1a2ed7945a88"/>
    <xsd:import namespace="1af60c89-dc88-4d5f-a6ad-ffaab8ae73d9"/>
    <xsd:import namespace="28b95dbd-1d90-490c-8970-e79c2d59c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5baad-6f0b-4e22-ae78-1a2ed7945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a456f5-b8d6-4c50-917c-ee53ebe36be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60c89-dc88-4d5f-a6ad-ffaab8ae73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95dbd-1d90-490c-8970-e79c2d59cb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f8dc87-4125-4622-9fdc-00ba231b2003}" ma:internalName="TaxCatchAll" ma:showField="CatchAllData" ma:web="28b95dbd-1d90-490c-8970-e79c2d59c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b95dbd-1d90-490c-8970-e79c2d59cb93" xsi:nil="true"/>
    <lcf76f155ced4ddcb4097134ff3c332f xmlns="ff95baad-6f0b-4e22-ae78-1a2ed7945a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5A1944-EBB2-4AFE-A0A3-783A4EC23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5baad-6f0b-4e22-ae78-1a2ed7945a88"/>
    <ds:schemaRef ds:uri="1af60c89-dc88-4d5f-a6ad-ffaab8ae73d9"/>
    <ds:schemaRef ds:uri="28b95dbd-1d90-490c-8970-e79c2d59c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1F71A-207A-44F9-B0EA-724AA184DDAA}">
  <ds:schemaRefs>
    <ds:schemaRef ds:uri="http://schemas.microsoft.com/sharepoint/v3/contenttype/forms"/>
  </ds:schemaRefs>
</ds:datastoreItem>
</file>

<file path=customXml/itemProps3.xml><?xml version="1.0" encoding="utf-8"?>
<ds:datastoreItem xmlns:ds="http://schemas.openxmlformats.org/officeDocument/2006/customXml" ds:itemID="{4F1236D0-AD6C-4093-8A4E-40A2315582C7}">
  <ds:schemaRefs>
    <ds:schemaRef ds:uri="http://schemas.microsoft.com/office/2006/metadata/properties"/>
    <ds:schemaRef ds:uri="http://schemas.microsoft.com/office/infopath/2007/PartnerControls"/>
    <ds:schemaRef ds:uri="28b95dbd-1d90-490c-8970-e79c2d59cb93"/>
    <ds:schemaRef ds:uri="ff95baad-6f0b-4e22-ae78-1a2ed7945a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Vaughn</dc:creator>
  <cp:lastModifiedBy>Kari Rosbeck</cp:lastModifiedBy>
  <cp:revision>2</cp:revision>
  <cp:lastPrinted>2018-05-01T20:59:00Z</cp:lastPrinted>
  <dcterms:created xsi:type="dcterms:W3CDTF">2025-03-13T21:03:00Z</dcterms:created>
  <dcterms:modified xsi:type="dcterms:W3CDTF">2025-03-13T21:03:00Z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0x0101004EBDFB4D3B1E6148AE3B215EE7EBE309</vt:lpwstr>
  </property>
  <property fmtid="{D5CDD505-2E9C-101B-9397-08002B2CF9AE}" pid="3" name="MediaServiceImageTags">
    <vt:lpwstr/>
  </property>
</Properties>
</file>