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18BC" w14:textId="10CE59CC" w:rsidR="00D97E3D" w:rsidRPr="00DA6333" w:rsidRDefault="00D97E3D" w:rsidP="00DA6333">
      <w:pPr>
        <w:rPr>
          <w:rFonts w:ascii="Arial" w:hAnsi="Arial" w:cs="Arial"/>
          <w:b/>
          <w:sz w:val="28"/>
          <w:szCs w:val="28"/>
        </w:rPr>
      </w:pPr>
      <w:r w:rsidRPr="00DA6333">
        <w:rPr>
          <w:rFonts w:ascii="Arial" w:hAnsi="Arial" w:cs="Arial"/>
          <w:b/>
          <w:sz w:val="28"/>
          <w:szCs w:val="28"/>
        </w:rPr>
        <w:t>TS</w:t>
      </w:r>
      <w:r w:rsidR="005534B1" w:rsidRPr="00DA6333">
        <w:rPr>
          <w:rFonts w:ascii="Arial" w:hAnsi="Arial" w:cs="Arial"/>
          <w:b/>
          <w:sz w:val="28"/>
          <w:szCs w:val="28"/>
        </w:rPr>
        <w:t>C</w:t>
      </w:r>
      <w:r w:rsidRPr="00DA6333">
        <w:rPr>
          <w:rFonts w:ascii="Arial" w:hAnsi="Arial" w:cs="Arial"/>
          <w:b/>
          <w:sz w:val="28"/>
          <w:szCs w:val="28"/>
        </w:rPr>
        <w:t xml:space="preserve"> Alliance </w:t>
      </w:r>
      <w:r w:rsidR="00DA6333">
        <w:rPr>
          <w:rFonts w:ascii="Arial" w:hAnsi="Arial" w:cs="Arial"/>
          <w:b/>
          <w:sz w:val="28"/>
          <w:szCs w:val="28"/>
        </w:rPr>
        <w:br/>
      </w:r>
      <w:r w:rsidRPr="00DA6333">
        <w:rPr>
          <w:rFonts w:ascii="Arial" w:hAnsi="Arial" w:cs="Arial"/>
          <w:b/>
          <w:sz w:val="28"/>
          <w:szCs w:val="28"/>
        </w:rPr>
        <w:t>Investment Policy for Operating Funds</w:t>
      </w:r>
    </w:p>
    <w:p w14:paraId="17E588B7" w14:textId="77777777" w:rsidR="00D97E3D" w:rsidRPr="00DA6333" w:rsidRDefault="00C11ECA" w:rsidP="00DA6333">
      <w:pPr>
        <w:rPr>
          <w:rFonts w:ascii="Arial" w:hAnsi="Arial" w:cs="Arial"/>
          <w:bCs/>
          <w:i/>
        </w:rPr>
      </w:pPr>
      <w:r w:rsidRPr="00DA6333">
        <w:rPr>
          <w:rFonts w:ascii="Arial" w:hAnsi="Arial" w:cs="Arial"/>
          <w:bCs/>
          <w:i/>
        </w:rPr>
        <w:t>Approved February 25, 3013</w:t>
      </w:r>
    </w:p>
    <w:p w14:paraId="5BBA9298" w14:textId="77777777" w:rsidR="00464D99" w:rsidRPr="00DA6333" w:rsidRDefault="00464D99" w:rsidP="00DA6333">
      <w:pPr>
        <w:rPr>
          <w:rFonts w:ascii="Arial" w:hAnsi="Arial" w:cs="Arial"/>
          <w:bCs/>
          <w:i/>
        </w:rPr>
      </w:pPr>
      <w:r w:rsidRPr="00DA6333">
        <w:rPr>
          <w:rFonts w:ascii="Arial" w:hAnsi="Arial" w:cs="Arial"/>
          <w:bCs/>
          <w:i/>
        </w:rPr>
        <w:t>Amended December 20, 2013</w:t>
      </w:r>
    </w:p>
    <w:p w14:paraId="1F96C150" w14:textId="77777777" w:rsidR="000354F7" w:rsidRPr="00DA6333" w:rsidRDefault="000354F7" w:rsidP="00DA6333">
      <w:pPr>
        <w:rPr>
          <w:rFonts w:ascii="Arial" w:hAnsi="Arial" w:cs="Arial"/>
          <w:bCs/>
          <w:i/>
        </w:rPr>
      </w:pPr>
      <w:r w:rsidRPr="00DA6333">
        <w:rPr>
          <w:rFonts w:ascii="Arial" w:hAnsi="Arial" w:cs="Arial"/>
          <w:bCs/>
          <w:i/>
        </w:rPr>
        <w:t>Amended March 2, 2017</w:t>
      </w:r>
    </w:p>
    <w:p w14:paraId="7582E9B5" w14:textId="77777777" w:rsidR="003851FB" w:rsidRPr="00DA6333" w:rsidRDefault="003851FB" w:rsidP="00DA6333">
      <w:pPr>
        <w:rPr>
          <w:rFonts w:ascii="Arial" w:hAnsi="Arial" w:cs="Arial"/>
          <w:bCs/>
          <w:i/>
        </w:rPr>
      </w:pPr>
      <w:r w:rsidRPr="00DA6333">
        <w:rPr>
          <w:rFonts w:ascii="Arial" w:hAnsi="Arial" w:cs="Arial"/>
          <w:bCs/>
          <w:i/>
        </w:rPr>
        <w:t>Amended March 7, 2019</w:t>
      </w:r>
    </w:p>
    <w:p w14:paraId="3A4CC82E" w14:textId="77777777" w:rsidR="00E53369" w:rsidRPr="001946D5" w:rsidRDefault="00E53369" w:rsidP="00D97E3D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EA85744" w14:textId="77777777" w:rsidR="00D97E3D" w:rsidRPr="001946D5" w:rsidRDefault="00D97E3D" w:rsidP="00D97E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Operating Funds may not be invested in instruments subjecting the principal balance to market risk.</w:t>
      </w:r>
    </w:p>
    <w:p w14:paraId="0B289B48" w14:textId="77777777" w:rsidR="00E450DF" w:rsidRPr="001946D5" w:rsidRDefault="00E450DF" w:rsidP="00E450DF">
      <w:pPr>
        <w:pStyle w:val="ListParagraph"/>
        <w:rPr>
          <w:rFonts w:ascii="Arial" w:hAnsi="Arial" w:cs="Arial"/>
        </w:rPr>
      </w:pPr>
    </w:p>
    <w:p w14:paraId="2FD9C8E3" w14:textId="77777777" w:rsidR="00B22F3B" w:rsidRPr="001946D5" w:rsidRDefault="00D97E3D" w:rsidP="00073B3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Operating funds may be held in US Government protected (i</w:t>
      </w:r>
      <w:r w:rsidR="003851FB" w:rsidRPr="001946D5">
        <w:rPr>
          <w:rFonts w:ascii="Arial" w:hAnsi="Arial" w:cs="Arial"/>
        </w:rPr>
        <w:t>.</w:t>
      </w:r>
      <w:r w:rsidRPr="001946D5">
        <w:rPr>
          <w:rFonts w:ascii="Arial" w:hAnsi="Arial" w:cs="Arial"/>
        </w:rPr>
        <w:t>e</w:t>
      </w:r>
      <w:r w:rsidR="003851FB" w:rsidRPr="001946D5">
        <w:rPr>
          <w:rFonts w:ascii="Arial" w:hAnsi="Arial" w:cs="Arial"/>
        </w:rPr>
        <w:t>. federally</w:t>
      </w:r>
      <w:r w:rsidRPr="001946D5">
        <w:rPr>
          <w:rFonts w:ascii="Arial" w:hAnsi="Arial" w:cs="Arial"/>
        </w:rPr>
        <w:t xml:space="preserve"> </w:t>
      </w:r>
      <w:r w:rsidR="003851FB" w:rsidRPr="001946D5">
        <w:rPr>
          <w:rFonts w:ascii="Arial" w:hAnsi="Arial" w:cs="Arial"/>
        </w:rPr>
        <w:t>i</w:t>
      </w:r>
      <w:r w:rsidRPr="001946D5">
        <w:rPr>
          <w:rFonts w:ascii="Arial" w:hAnsi="Arial" w:cs="Arial"/>
        </w:rPr>
        <w:t>nsured) bank deposit accounts.</w:t>
      </w:r>
      <w:r w:rsidR="00B22F3B" w:rsidRPr="001946D5">
        <w:rPr>
          <w:rFonts w:ascii="Arial" w:hAnsi="Arial" w:cs="Arial"/>
          <w:color w:val="1F497D"/>
        </w:rPr>
        <w:t xml:space="preserve"> </w:t>
      </w:r>
    </w:p>
    <w:p w14:paraId="50FC7AFD" w14:textId="77777777" w:rsidR="00B22F3B" w:rsidRPr="001946D5" w:rsidRDefault="00B22F3B" w:rsidP="00B22F3B">
      <w:pPr>
        <w:pStyle w:val="ListParagraph"/>
        <w:rPr>
          <w:rFonts w:ascii="Arial" w:hAnsi="Arial" w:cs="Arial"/>
          <w:color w:val="1F497D"/>
        </w:rPr>
      </w:pPr>
    </w:p>
    <w:p w14:paraId="0107238A" w14:textId="552F52DA" w:rsidR="00754174" w:rsidRPr="001946D5" w:rsidRDefault="00754174" w:rsidP="00D97E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 xml:space="preserve">Operating funds may be held in </w:t>
      </w:r>
      <w:r w:rsidR="003851FB" w:rsidRPr="001946D5">
        <w:rPr>
          <w:rFonts w:ascii="Arial" w:hAnsi="Arial" w:cs="Arial"/>
        </w:rPr>
        <w:t>federally</w:t>
      </w:r>
      <w:r w:rsidRPr="001946D5">
        <w:rPr>
          <w:rFonts w:ascii="Arial" w:hAnsi="Arial" w:cs="Arial"/>
        </w:rPr>
        <w:t xml:space="preserve"> insured CDs.</w:t>
      </w:r>
    </w:p>
    <w:p w14:paraId="09EB20A1" w14:textId="77777777" w:rsidR="00E450DF" w:rsidRPr="001946D5" w:rsidRDefault="00E450DF" w:rsidP="00E450DF">
      <w:pPr>
        <w:pStyle w:val="ListParagraph"/>
        <w:rPr>
          <w:rFonts w:ascii="Arial" w:hAnsi="Arial" w:cs="Arial"/>
        </w:rPr>
      </w:pPr>
    </w:p>
    <w:p w14:paraId="1C4F7C82" w14:textId="77777777" w:rsidR="00754174" w:rsidRPr="001946D5" w:rsidRDefault="00754174" w:rsidP="00D97E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Operating funds may be held in short term US Treasuries</w:t>
      </w:r>
      <w:r w:rsidR="00E450DF" w:rsidRPr="001946D5">
        <w:rPr>
          <w:rFonts w:ascii="Arial" w:hAnsi="Arial" w:cs="Arial"/>
        </w:rPr>
        <w:t>:</w:t>
      </w:r>
    </w:p>
    <w:p w14:paraId="30685929" w14:textId="77777777" w:rsidR="00E450DF" w:rsidRPr="001946D5" w:rsidRDefault="00E450DF" w:rsidP="0075417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Maximum Duration 3 years.</w:t>
      </w:r>
    </w:p>
    <w:p w14:paraId="2E31587E" w14:textId="77777777" w:rsidR="00E450DF" w:rsidRPr="001946D5" w:rsidRDefault="00E450DF" w:rsidP="0075417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No more than 20% past 2 years.</w:t>
      </w:r>
    </w:p>
    <w:p w14:paraId="361CACC2" w14:textId="77777777" w:rsidR="00754174" w:rsidRPr="001946D5" w:rsidRDefault="00E450DF" w:rsidP="0075417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No more than 40% past 1 year.</w:t>
      </w:r>
      <w:r w:rsidR="00754174" w:rsidRPr="001946D5">
        <w:rPr>
          <w:rFonts w:ascii="Arial" w:hAnsi="Arial" w:cs="Arial"/>
        </w:rPr>
        <w:t xml:space="preserve"> </w:t>
      </w:r>
    </w:p>
    <w:p w14:paraId="051C5B8B" w14:textId="77777777" w:rsidR="00E450DF" w:rsidRPr="001946D5" w:rsidRDefault="00E450DF" w:rsidP="00E450DF">
      <w:pPr>
        <w:pStyle w:val="ListParagraph"/>
        <w:ind w:left="2160"/>
        <w:rPr>
          <w:rFonts w:ascii="Arial" w:hAnsi="Arial" w:cs="Arial"/>
        </w:rPr>
      </w:pPr>
    </w:p>
    <w:p w14:paraId="2BF0A330" w14:textId="77777777" w:rsidR="00320745" w:rsidRPr="001946D5" w:rsidRDefault="007A796A" w:rsidP="007A79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 xml:space="preserve">Operating funds may be held in money market instruments with the highest S&amp;P, Moody, and/or Fitch principal stability rating.  No cap on amounts covered by </w:t>
      </w:r>
      <w:r w:rsidR="003851FB" w:rsidRPr="001946D5">
        <w:rPr>
          <w:rFonts w:ascii="Arial" w:hAnsi="Arial" w:cs="Arial"/>
        </w:rPr>
        <w:t>federal</w:t>
      </w:r>
      <w:r w:rsidRPr="001946D5">
        <w:rPr>
          <w:rFonts w:ascii="Arial" w:hAnsi="Arial" w:cs="Arial"/>
        </w:rPr>
        <w:t xml:space="preserve"> insurance.  No more than 20% of gross operating funds to be invested in uninsured money markets.  Money market deposit account balances are not to exceed the </w:t>
      </w:r>
      <w:r w:rsidR="003851FB" w:rsidRPr="001946D5">
        <w:rPr>
          <w:rFonts w:ascii="Arial" w:hAnsi="Arial" w:cs="Arial"/>
        </w:rPr>
        <w:t>federally</w:t>
      </w:r>
      <w:r w:rsidRPr="001946D5">
        <w:rPr>
          <w:rFonts w:ascii="Arial" w:hAnsi="Arial" w:cs="Arial"/>
        </w:rPr>
        <w:t xml:space="preserve"> insured amounts</w:t>
      </w:r>
      <w:r w:rsidR="000354F7" w:rsidRPr="001946D5">
        <w:rPr>
          <w:rFonts w:ascii="Arial" w:hAnsi="Arial" w:cs="Arial"/>
        </w:rPr>
        <w:t xml:space="preserve"> with the additional limitation of the following paragraph</w:t>
      </w:r>
      <w:r w:rsidRPr="001946D5">
        <w:rPr>
          <w:rFonts w:ascii="Arial" w:hAnsi="Arial" w:cs="Arial"/>
        </w:rPr>
        <w:t>. </w:t>
      </w:r>
    </w:p>
    <w:p w14:paraId="49B12B0C" w14:textId="77777777" w:rsidR="00320745" w:rsidRPr="001946D5" w:rsidRDefault="00320745" w:rsidP="00320745">
      <w:pPr>
        <w:pStyle w:val="ListParagraph"/>
        <w:rPr>
          <w:rFonts w:ascii="Arial" w:hAnsi="Arial" w:cs="Arial"/>
        </w:rPr>
      </w:pPr>
    </w:p>
    <w:p w14:paraId="2CCD578F" w14:textId="77777777" w:rsidR="007A796A" w:rsidRPr="001946D5" w:rsidRDefault="007A796A" w:rsidP="007A79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 xml:space="preserve">Balances held in the organization’s </w:t>
      </w:r>
      <w:r w:rsidR="000354F7" w:rsidRPr="001946D5">
        <w:rPr>
          <w:rFonts w:ascii="Arial" w:hAnsi="Arial" w:cs="Arial"/>
        </w:rPr>
        <w:t>banking</w:t>
      </w:r>
      <w:r w:rsidRPr="001946D5">
        <w:rPr>
          <w:rFonts w:ascii="Arial" w:hAnsi="Arial" w:cs="Arial"/>
        </w:rPr>
        <w:t xml:space="preserve"> account</w:t>
      </w:r>
      <w:r w:rsidR="000354F7" w:rsidRPr="001946D5">
        <w:rPr>
          <w:rFonts w:ascii="Arial" w:hAnsi="Arial" w:cs="Arial"/>
        </w:rPr>
        <w:t>s</w:t>
      </w:r>
      <w:r w:rsidRPr="001946D5">
        <w:rPr>
          <w:rFonts w:ascii="Arial" w:hAnsi="Arial" w:cs="Arial"/>
        </w:rPr>
        <w:t xml:space="preserve"> may, however, exceed the </w:t>
      </w:r>
      <w:r w:rsidR="003851FB" w:rsidRPr="001946D5">
        <w:rPr>
          <w:rFonts w:ascii="Arial" w:hAnsi="Arial" w:cs="Arial"/>
        </w:rPr>
        <w:t>federal</w:t>
      </w:r>
      <w:r w:rsidRPr="001946D5">
        <w:rPr>
          <w:rFonts w:ascii="Arial" w:hAnsi="Arial" w:cs="Arial"/>
        </w:rPr>
        <w:t xml:space="preserve"> insurance coverage by up to $</w:t>
      </w:r>
      <w:r w:rsidR="000354F7" w:rsidRPr="001946D5">
        <w:rPr>
          <w:rFonts w:ascii="Arial" w:hAnsi="Arial" w:cs="Arial"/>
        </w:rPr>
        <w:t>1,00</w:t>
      </w:r>
      <w:r w:rsidRPr="001946D5">
        <w:rPr>
          <w:rFonts w:ascii="Arial" w:hAnsi="Arial" w:cs="Arial"/>
        </w:rPr>
        <w:t xml:space="preserve">0,000 provided the </w:t>
      </w:r>
      <w:r w:rsidR="00796BA4" w:rsidRPr="001946D5">
        <w:rPr>
          <w:rFonts w:ascii="Arial" w:hAnsi="Arial" w:cs="Arial"/>
        </w:rPr>
        <w:t>f</w:t>
      </w:r>
      <w:r w:rsidRPr="001946D5">
        <w:rPr>
          <w:rFonts w:ascii="Arial" w:hAnsi="Arial" w:cs="Arial"/>
        </w:rPr>
        <w:t xml:space="preserve">inancial institution maintains an S&amp;P rating </w:t>
      </w:r>
      <w:r w:rsidR="000354F7" w:rsidRPr="001946D5">
        <w:rPr>
          <w:rFonts w:ascii="Arial" w:hAnsi="Arial" w:cs="Arial"/>
        </w:rPr>
        <w:t xml:space="preserve">of A </w:t>
      </w:r>
      <w:r w:rsidRPr="001946D5">
        <w:rPr>
          <w:rFonts w:ascii="Arial" w:hAnsi="Arial" w:cs="Arial"/>
        </w:rPr>
        <w:t>or Better.</w:t>
      </w:r>
    </w:p>
    <w:p w14:paraId="5CA4C783" w14:textId="77777777" w:rsidR="007A796A" w:rsidRPr="001946D5" w:rsidRDefault="007A796A" w:rsidP="007A796A">
      <w:pPr>
        <w:pStyle w:val="ListParagraph"/>
        <w:rPr>
          <w:rFonts w:ascii="Arial" w:hAnsi="Arial" w:cs="Arial"/>
        </w:rPr>
      </w:pPr>
    </w:p>
    <w:p w14:paraId="3886E021" w14:textId="77777777" w:rsidR="00E450DF" w:rsidRPr="001946D5" w:rsidRDefault="00E450DF" w:rsidP="00D97E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 xml:space="preserve">Investment in products not specifically approved above is prohibited without explicit approval from the Executive Committee. </w:t>
      </w:r>
    </w:p>
    <w:p w14:paraId="29512F47" w14:textId="77777777" w:rsidR="007A796A" w:rsidRPr="001946D5" w:rsidRDefault="007A796A" w:rsidP="007A796A">
      <w:pPr>
        <w:pStyle w:val="ListParagraph"/>
        <w:rPr>
          <w:rFonts w:ascii="Arial" w:hAnsi="Arial" w:cs="Arial"/>
        </w:rPr>
      </w:pPr>
    </w:p>
    <w:p w14:paraId="2A8F6FBD" w14:textId="77777777" w:rsidR="007A796A" w:rsidRDefault="007A796A" w:rsidP="007A796A">
      <w:pPr>
        <w:pStyle w:val="ListParagraph"/>
      </w:pPr>
    </w:p>
    <w:p w14:paraId="5BBE814C" w14:textId="77777777" w:rsidR="007A796A" w:rsidRDefault="007A796A" w:rsidP="007A796A">
      <w:pPr>
        <w:jc w:val="both"/>
      </w:pPr>
      <w:r>
        <w:t> </w:t>
      </w:r>
    </w:p>
    <w:p w14:paraId="36732012" w14:textId="77777777" w:rsidR="007A796A" w:rsidRDefault="007A796A" w:rsidP="007A796A">
      <w:pPr>
        <w:pStyle w:val="ListParagraph"/>
      </w:pPr>
    </w:p>
    <w:p w14:paraId="79A215BF" w14:textId="77777777" w:rsidR="007A796A" w:rsidRPr="00D34AA6" w:rsidRDefault="007A796A" w:rsidP="007A796A">
      <w:pPr>
        <w:pStyle w:val="ListParagraph"/>
      </w:pPr>
    </w:p>
    <w:sectPr w:rsidR="007A796A" w:rsidRPr="00D34AA6" w:rsidSect="009B0D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263"/>
    <w:multiLevelType w:val="hybridMultilevel"/>
    <w:tmpl w:val="78968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97BC7"/>
    <w:multiLevelType w:val="hybridMultilevel"/>
    <w:tmpl w:val="B16C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AEB"/>
    <w:multiLevelType w:val="hybridMultilevel"/>
    <w:tmpl w:val="B0B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833"/>
    <w:multiLevelType w:val="hybridMultilevel"/>
    <w:tmpl w:val="60B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364C"/>
    <w:multiLevelType w:val="hybridMultilevel"/>
    <w:tmpl w:val="8496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2B0C"/>
    <w:multiLevelType w:val="hybridMultilevel"/>
    <w:tmpl w:val="2C10D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3D"/>
    <w:rsid w:val="000048D5"/>
    <w:rsid w:val="00010210"/>
    <w:rsid w:val="0001360E"/>
    <w:rsid w:val="00015E09"/>
    <w:rsid w:val="00017619"/>
    <w:rsid w:val="00027917"/>
    <w:rsid w:val="0003191E"/>
    <w:rsid w:val="00033C63"/>
    <w:rsid w:val="000354F7"/>
    <w:rsid w:val="00045843"/>
    <w:rsid w:val="00052220"/>
    <w:rsid w:val="00064282"/>
    <w:rsid w:val="00071BE3"/>
    <w:rsid w:val="000736BF"/>
    <w:rsid w:val="00073B39"/>
    <w:rsid w:val="000744F1"/>
    <w:rsid w:val="0009139C"/>
    <w:rsid w:val="00094FAD"/>
    <w:rsid w:val="00096977"/>
    <w:rsid w:val="000A0E0B"/>
    <w:rsid w:val="000A1E1C"/>
    <w:rsid w:val="000A4323"/>
    <w:rsid w:val="000B4682"/>
    <w:rsid w:val="000C178A"/>
    <w:rsid w:val="000C4960"/>
    <w:rsid w:val="000D22E9"/>
    <w:rsid w:val="000D59F4"/>
    <w:rsid w:val="000E2508"/>
    <w:rsid w:val="000E4C5D"/>
    <w:rsid w:val="000E6892"/>
    <w:rsid w:val="000F360D"/>
    <w:rsid w:val="00100F96"/>
    <w:rsid w:val="0010306D"/>
    <w:rsid w:val="001034E7"/>
    <w:rsid w:val="00116880"/>
    <w:rsid w:val="0012557F"/>
    <w:rsid w:val="00125D90"/>
    <w:rsid w:val="00126CB4"/>
    <w:rsid w:val="00130536"/>
    <w:rsid w:val="001315C6"/>
    <w:rsid w:val="00150636"/>
    <w:rsid w:val="001510E4"/>
    <w:rsid w:val="00154781"/>
    <w:rsid w:val="00162393"/>
    <w:rsid w:val="001709F1"/>
    <w:rsid w:val="0017377B"/>
    <w:rsid w:val="001771C3"/>
    <w:rsid w:val="00177A85"/>
    <w:rsid w:val="00180CEF"/>
    <w:rsid w:val="001818BA"/>
    <w:rsid w:val="00186A30"/>
    <w:rsid w:val="001946D5"/>
    <w:rsid w:val="001950D6"/>
    <w:rsid w:val="001B0CFB"/>
    <w:rsid w:val="001B17E1"/>
    <w:rsid w:val="001B30FE"/>
    <w:rsid w:val="001B4E3F"/>
    <w:rsid w:val="001C2C92"/>
    <w:rsid w:val="001D0784"/>
    <w:rsid w:val="001D2841"/>
    <w:rsid w:val="001D466A"/>
    <w:rsid w:val="001D62CF"/>
    <w:rsid w:val="001D6AE2"/>
    <w:rsid w:val="001E7CAE"/>
    <w:rsid w:val="00212D73"/>
    <w:rsid w:val="00217A05"/>
    <w:rsid w:val="00232D7F"/>
    <w:rsid w:val="00241283"/>
    <w:rsid w:val="00243589"/>
    <w:rsid w:val="00246810"/>
    <w:rsid w:val="00252338"/>
    <w:rsid w:val="00280B56"/>
    <w:rsid w:val="00280D44"/>
    <w:rsid w:val="00283C8D"/>
    <w:rsid w:val="00296D16"/>
    <w:rsid w:val="002972B0"/>
    <w:rsid w:val="00297835"/>
    <w:rsid w:val="002A2B85"/>
    <w:rsid w:val="002B0D80"/>
    <w:rsid w:val="002B3EE2"/>
    <w:rsid w:val="002B3F5C"/>
    <w:rsid w:val="002B7924"/>
    <w:rsid w:val="002D22FF"/>
    <w:rsid w:val="002D2848"/>
    <w:rsid w:val="002D2DE2"/>
    <w:rsid w:val="002E03B2"/>
    <w:rsid w:val="002F5A96"/>
    <w:rsid w:val="002F7646"/>
    <w:rsid w:val="003078AA"/>
    <w:rsid w:val="00312DCB"/>
    <w:rsid w:val="00315C6C"/>
    <w:rsid w:val="00320745"/>
    <w:rsid w:val="00323F78"/>
    <w:rsid w:val="00325488"/>
    <w:rsid w:val="0034448E"/>
    <w:rsid w:val="0034701B"/>
    <w:rsid w:val="003474BF"/>
    <w:rsid w:val="00360293"/>
    <w:rsid w:val="00360361"/>
    <w:rsid w:val="00360527"/>
    <w:rsid w:val="00364511"/>
    <w:rsid w:val="003654F7"/>
    <w:rsid w:val="00366BB4"/>
    <w:rsid w:val="00371BBC"/>
    <w:rsid w:val="00380132"/>
    <w:rsid w:val="003851FB"/>
    <w:rsid w:val="00390B17"/>
    <w:rsid w:val="003C3A9C"/>
    <w:rsid w:val="003D1B72"/>
    <w:rsid w:val="003D2023"/>
    <w:rsid w:val="003D2A9E"/>
    <w:rsid w:val="003F018A"/>
    <w:rsid w:val="003F5677"/>
    <w:rsid w:val="00403DBD"/>
    <w:rsid w:val="00404CCC"/>
    <w:rsid w:val="00404E2C"/>
    <w:rsid w:val="00404FA5"/>
    <w:rsid w:val="00412A42"/>
    <w:rsid w:val="0042623C"/>
    <w:rsid w:val="00437A4C"/>
    <w:rsid w:val="0044305A"/>
    <w:rsid w:val="004460F1"/>
    <w:rsid w:val="00450650"/>
    <w:rsid w:val="004515CF"/>
    <w:rsid w:val="004623C7"/>
    <w:rsid w:val="00464D99"/>
    <w:rsid w:val="004750CA"/>
    <w:rsid w:val="004805F2"/>
    <w:rsid w:val="00481763"/>
    <w:rsid w:val="00485AD5"/>
    <w:rsid w:val="00496335"/>
    <w:rsid w:val="004A144C"/>
    <w:rsid w:val="004A4492"/>
    <w:rsid w:val="004C3938"/>
    <w:rsid w:val="004C6C43"/>
    <w:rsid w:val="004D3785"/>
    <w:rsid w:val="004D5D45"/>
    <w:rsid w:val="004D6BA5"/>
    <w:rsid w:val="004E42F0"/>
    <w:rsid w:val="004E5777"/>
    <w:rsid w:val="005029CF"/>
    <w:rsid w:val="00503960"/>
    <w:rsid w:val="005068E7"/>
    <w:rsid w:val="0051324D"/>
    <w:rsid w:val="0052168F"/>
    <w:rsid w:val="00537D7B"/>
    <w:rsid w:val="005433D8"/>
    <w:rsid w:val="00544E3F"/>
    <w:rsid w:val="00545986"/>
    <w:rsid w:val="00546880"/>
    <w:rsid w:val="005534B1"/>
    <w:rsid w:val="00555F86"/>
    <w:rsid w:val="00557F46"/>
    <w:rsid w:val="0057243F"/>
    <w:rsid w:val="0057605B"/>
    <w:rsid w:val="00576AD9"/>
    <w:rsid w:val="005771D7"/>
    <w:rsid w:val="00583E9A"/>
    <w:rsid w:val="0058700C"/>
    <w:rsid w:val="00592087"/>
    <w:rsid w:val="0059278E"/>
    <w:rsid w:val="00594C13"/>
    <w:rsid w:val="005B252A"/>
    <w:rsid w:val="005C5535"/>
    <w:rsid w:val="005D055A"/>
    <w:rsid w:val="005D5439"/>
    <w:rsid w:val="005E5FDC"/>
    <w:rsid w:val="005F0333"/>
    <w:rsid w:val="005F04BD"/>
    <w:rsid w:val="005F5C3A"/>
    <w:rsid w:val="005F5D16"/>
    <w:rsid w:val="00604B82"/>
    <w:rsid w:val="00623BA2"/>
    <w:rsid w:val="00623F20"/>
    <w:rsid w:val="00632B0A"/>
    <w:rsid w:val="00646E3E"/>
    <w:rsid w:val="00652E3F"/>
    <w:rsid w:val="00656572"/>
    <w:rsid w:val="006638BE"/>
    <w:rsid w:val="00667FD6"/>
    <w:rsid w:val="00685428"/>
    <w:rsid w:val="00693C35"/>
    <w:rsid w:val="006A608E"/>
    <w:rsid w:val="006B1899"/>
    <w:rsid w:val="006B29D8"/>
    <w:rsid w:val="006D36E9"/>
    <w:rsid w:val="006D45E6"/>
    <w:rsid w:val="006E4B33"/>
    <w:rsid w:val="006E5DB2"/>
    <w:rsid w:val="006E6FC1"/>
    <w:rsid w:val="006E7808"/>
    <w:rsid w:val="006F2851"/>
    <w:rsid w:val="006F29DD"/>
    <w:rsid w:val="006F5AF9"/>
    <w:rsid w:val="00700626"/>
    <w:rsid w:val="00704BEC"/>
    <w:rsid w:val="00706B5D"/>
    <w:rsid w:val="0071161F"/>
    <w:rsid w:val="00711D8C"/>
    <w:rsid w:val="0072064A"/>
    <w:rsid w:val="00721655"/>
    <w:rsid w:val="007338B1"/>
    <w:rsid w:val="00737287"/>
    <w:rsid w:val="007376FF"/>
    <w:rsid w:val="00737B96"/>
    <w:rsid w:val="00754174"/>
    <w:rsid w:val="00754D16"/>
    <w:rsid w:val="00764188"/>
    <w:rsid w:val="0076537E"/>
    <w:rsid w:val="007663A4"/>
    <w:rsid w:val="00766467"/>
    <w:rsid w:val="00771E4C"/>
    <w:rsid w:val="00782E3A"/>
    <w:rsid w:val="00783DBD"/>
    <w:rsid w:val="0078652D"/>
    <w:rsid w:val="00796BA4"/>
    <w:rsid w:val="007A2543"/>
    <w:rsid w:val="007A473A"/>
    <w:rsid w:val="007A796A"/>
    <w:rsid w:val="007A7C2C"/>
    <w:rsid w:val="007B1677"/>
    <w:rsid w:val="007B16BF"/>
    <w:rsid w:val="007C31E7"/>
    <w:rsid w:val="007D07C4"/>
    <w:rsid w:val="007D14BB"/>
    <w:rsid w:val="007D3970"/>
    <w:rsid w:val="007E2878"/>
    <w:rsid w:val="007E39EB"/>
    <w:rsid w:val="00816BE5"/>
    <w:rsid w:val="00817575"/>
    <w:rsid w:val="00841832"/>
    <w:rsid w:val="0084280D"/>
    <w:rsid w:val="00845C11"/>
    <w:rsid w:val="00846C6B"/>
    <w:rsid w:val="008505B0"/>
    <w:rsid w:val="008540B2"/>
    <w:rsid w:val="00855E54"/>
    <w:rsid w:val="00857150"/>
    <w:rsid w:val="00857C92"/>
    <w:rsid w:val="0086752B"/>
    <w:rsid w:val="00870880"/>
    <w:rsid w:val="00871D34"/>
    <w:rsid w:val="008724C7"/>
    <w:rsid w:val="00876D00"/>
    <w:rsid w:val="008773F0"/>
    <w:rsid w:val="00884252"/>
    <w:rsid w:val="0088497C"/>
    <w:rsid w:val="00886C31"/>
    <w:rsid w:val="008934C8"/>
    <w:rsid w:val="008964D6"/>
    <w:rsid w:val="008A00BF"/>
    <w:rsid w:val="008B37CF"/>
    <w:rsid w:val="008C0A50"/>
    <w:rsid w:val="008C14A8"/>
    <w:rsid w:val="008D21D7"/>
    <w:rsid w:val="008D6E15"/>
    <w:rsid w:val="008E0403"/>
    <w:rsid w:val="008E233F"/>
    <w:rsid w:val="008E32CC"/>
    <w:rsid w:val="008F2319"/>
    <w:rsid w:val="008F6FE9"/>
    <w:rsid w:val="008F72A8"/>
    <w:rsid w:val="0090029A"/>
    <w:rsid w:val="00901B8A"/>
    <w:rsid w:val="009055F9"/>
    <w:rsid w:val="009310CD"/>
    <w:rsid w:val="00940475"/>
    <w:rsid w:val="00941AF2"/>
    <w:rsid w:val="009573A5"/>
    <w:rsid w:val="00960DA1"/>
    <w:rsid w:val="0096312E"/>
    <w:rsid w:val="009706D2"/>
    <w:rsid w:val="00973839"/>
    <w:rsid w:val="00984065"/>
    <w:rsid w:val="00986902"/>
    <w:rsid w:val="00990037"/>
    <w:rsid w:val="00991D31"/>
    <w:rsid w:val="0099301F"/>
    <w:rsid w:val="009A153C"/>
    <w:rsid w:val="009A1ED6"/>
    <w:rsid w:val="009A24CD"/>
    <w:rsid w:val="009A3687"/>
    <w:rsid w:val="009B0DD9"/>
    <w:rsid w:val="009B68AE"/>
    <w:rsid w:val="009C06EB"/>
    <w:rsid w:val="009C7DAF"/>
    <w:rsid w:val="009D3E9A"/>
    <w:rsid w:val="009D451A"/>
    <w:rsid w:val="009E4FE7"/>
    <w:rsid w:val="009E50C5"/>
    <w:rsid w:val="009E5A09"/>
    <w:rsid w:val="009F252E"/>
    <w:rsid w:val="009F3A5E"/>
    <w:rsid w:val="00A041DA"/>
    <w:rsid w:val="00A128EA"/>
    <w:rsid w:val="00A156E4"/>
    <w:rsid w:val="00A16848"/>
    <w:rsid w:val="00A20D70"/>
    <w:rsid w:val="00A36CA0"/>
    <w:rsid w:val="00A42B9A"/>
    <w:rsid w:val="00A43703"/>
    <w:rsid w:val="00A4372A"/>
    <w:rsid w:val="00A448A5"/>
    <w:rsid w:val="00A600F3"/>
    <w:rsid w:val="00A65D7B"/>
    <w:rsid w:val="00A66E07"/>
    <w:rsid w:val="00A66E5B"/>
    <w:rsid w:val="00A70B97"/>
    <w:rsid w:val="00A75BCD"/>
    <w:rsid w:val="00A821A6"/>
    <w:rsid w:val="00A850E4"/>
    <w:rsid w:val="00A9015B"/>
    <w:rsid w:val="00AA2183"/>
    <w:rsid w:val="00AA34AA"/>
    <w:rsid w:val="00AA6C96"/>
    <w:rsid w:val="00AB14BF"/>
    <w:rsid w:val="00AC38F4"/>
    <w:rsid w:val="00AD22DE"/>
    <w:rsid w:val="00AD50D7"/>
    <w:rsid w:val="00AE4868"/>
    <w:rsid w:val="00AE4ABD"/>
    <w:rsid w:val="00AE4C87"/>
    <w:rsid w:val="00B046D8"/>
    <w:rsid w:val="00B04A79"/>
    <w:rsid w:val="00B1500E"/>
    <w:rsid w:val="00B15245"/>
    <w:rsid w:val="00B17BF4"/>
    <w:rsid w:val="00B2263D"/>
    <w:rsid w:val="00B22F3B"/>
    <w:rsid w:val="00B269BD"/>
    <w:rsid w:val="00B3280A"/>
    <w:rsid w:val="00B37EF1"/>
    <w:rsid w:val="00B42664"/>
    <w:rsid w:val="00B46491"/>
    <w:rsid w:val="00B51380"/>
    <w:rsid w:val="00B64C6B"/>
    <w:rsid w:val="00B67207"/>
    <w:rsid w:val="00B700FE"/>
    <w:rsid w:val="00B76E6E"/>
    <w:rsid w:val="00B805A2"/>
    <w:rsid w:val="00B83CCD"/>
    <w:rsid w:val="00B845FD"/>
    <w:rsid w:val="00B904B2"/>
    <w:rsid w:val="00B91FDF"/>
    <w:rsid w:val="00B93EC2"/>
    <w:rsid w:val="00BA49A5"/>
    <w:rsid w:val="00BA5842"/>
    <w:rsid w:val="00BB7409"/>
    <w:rsid w:val="00BC0251"/>
    <w:rsid w:val="00BC307F"/>
    <w:rsid w:val="00BC458E"/>
    <w:rsid w:val="00BC78F9"/>
    <w:rsid w:val="00BD2CB1"/>
    <w:rsid w:val="00BD6323"/>
    <w:rsid w:val="00BE6BC2"/>
    <w:rsid w:val="00BE6C43"/>
    <w:rsid w:val="00BF218A"/>
    <w:rsid w:val="00BF675E"/>
    <w:rsid w:val="00BF6DF0"/>
    <w:rsid w:val="00C077A3"/>
    <w:rsid w:val="00C07BD4"/>
    <w:rsid w:val="00C11ECA"/>
    <w:rsid w:val="00C127A3"/>
    <w:rsid w:val="00C12D28"/>
    <w:rsid w:val="00C17D35"/>
    <w:rsid w:val="00C23DB3"/>
    <w:rsid w:val="00C311AB"/>
    <w:rsid w:val="00C345D1"/>
    <w:rsid w:val="00C42A67"/>
    <w:rsid w:val="00C457D8"/>
    <w:rsid w:val="00C51171"/>
    <w:rsid w:val="00C52259"/>
    <w:rsid w:val="00C52AB8"/>
    <w:rsid w:val="00C54B2D"/>
    <w:rsid w:val="00C5766F"/>
    <w:rsid w:val="00C63128"/>
    <w:rsid w:val="00C70A8C"/>
    <w:rsid w:val="00C752FD"/>
    <w:rsid w:val="00C77D81"/>
    <w:rsid w:val="00C80AC2"/>
    <w:rsid w:val="00C8124C"/>
    <w:rsid w:val="00C820E9"/>
    <w:rsid w:val="00C85960"/>
    <w:rsid w:val="00C92057"/>
    <w:rsid w:val="00C94906"/>
    <w:rsid w:val="00C9700D"/>
    <w:rsid w:val="00CA7AE4"/>
    <w:rsid w:val="00CB793C"/>
    <w:rsid w:val="00CC2B0E"/>
    <w:rsid w:val="00CC3C64"/>
    <w:rsid w:val="00CD0512"/>
    <w:rsid w:val="00CD42DC"/>
    <w:rsid w:val="00CD459D"/>
    <w:rsid w:val="00CD4840"/>
    <w:rsid w:val="00CD7B7D"/>
    <w:rsid w:val="00CD7ED7"/>
    <w:rsid w:val="00CE03EE"/>
    <w:rsid w:val="00CE0BAE"/>
    <w:rsid w:val="00CE412F"/>
    <w:rsid w:val="00CF4054"/>
    <w:rsid w:val="00D025A2"/>
    <w:rsid w:val="00D03151"/>
    <w:rsid w:val="00D051EB"/>
    <w:rsid w:val="00D105B1"/>
    <w:rsid w:val="00D11D60"/>
    <w:rsid w:val="00D145E8"/>
    <w:rsid w:val="00D17500"/>
    <w:rsid w:val="00D17871"/>
    <w:rsid w:val="00D34AA6"/>
    <w:rsid w:val="00D35406"/>
    <w:rsid w:val="00D42FEF"/>
    <w:rsid w:val="00D47326"/>
    <w:rsid w:val="00D54C40"/>
    <w:rsid w:val="00D60B15"/>
    <w:rsid w:val="00D85243"/>
    <w:rsid w:val="00D94096"/>
    <w:rsid w:val="00D97264"/>
    <w:rsid w:val="00D97534"/>
    <w:rsid w:val="00D97E3D"/>
    <w:rsid w:val="00DA14B5"/>
    <w:rsid w:val="00DA6333"/>
    <w:rsid w:val="00DB4ADC"/>
    <w:rsid w:val="00DC0CF5"/>
    <w:rsid w:val="00DC3D15"/>
    <w:rsid w:val="00DC768A"/>
    <w:rsid w:val="00DD4F31"/>
    <w:rsid w:val="00DE2F31"/>
    <w:rsid w:val="00DE560A"/>
    <w:rsid w:val="00DE6431"/>
    <w:rsid w:val="00DF1BFE"/>
    <w:rsid w:val="00E023E8"/>
    <w:rsid w:val="00E03502"/>
    <w:rsid w:val="00E05DE3"/>
    <w:rsid w:val="00E065BE"/>
    <w:rsid w:val="00E10915"/>
    <w:rsid w:val="00E20257"/>
    <w:rsid w:val="00E27173"/>
    <w:rsid w:val="00E34A4D"/>
    <w:rsid w:val="00E44587"/>
    <w:rsid w:val="00E448B3"/>
    <w:rsid w:val="00E450DF"/>
    <w:rsid w:val="00E453A3"/>
    <w:rsid w:val="00E53369"/>
    <w:rsid w:val="00E6238A"/>
    <w:rsid w:val="00E66E41"/>
    <w:rsid w:val="00E75C36"/>
    <w:rsid w:val="00E843DD"/>
    <w:rsid w:val="00E845AD"/>
    <w:rsid w:val="00E905C9"/>
    <w:rsid w:val="00E94B6D"/>
    <w:rsid w:val="00EA286C"/>
    <w:rsid w:val="00EA448B"/>
    <w:rsid w:val="00EA5099"/>
    <w:rsid w:val="00EB653E"/>
    <w:rsid w:val="00EC32AE"/>
    <w:rsid w:val="00ED02C3"/>
    <w:rsid w:val="00ED54D6"/>
    <w:rsid w:val="00ED5A95"/>
    <w:rsid w:val="00EE02EF"/>
    <w:rsid w:val="00EE3290"/>
    <w:rsid w:val="00EE44F4"/>
    <w:rsid w:val="00EE79FB"/>
    <w:rsid w:val="00EF0651"/>
    <w:rsid w:val="00EF3649"/>
    <w:rsid w:val="00F1116D"/>
    <w:rsid w:val="00F149C4"/>
    <w:rsid w:val="00F163FC"/>
    <w:rsid w:val="00F24F3D"/>
    <w:rsid w:val="00F26EDB"/>
    <w:rsid w:val="00F303E0"/>
    <w:rsid w:val="00F30496"/>
    <w:rsid w:val="00F367A3"/>
    <w:rsid w:val="00F51B34"/>
    <w:rsid w:val="00F57BF0"/>
    <w:rsid w:val="00F71936"/>
    <w:rsid w:val="00F81906"/>
    <w:rsid w:val="00F8465C"/>
    <w:rsid w:val="00F93CF3"/>
    <w:rsid w:val="00FA265D"/>
    <w:rsid w:val="00FA622C"/>
    <w:rsid w:val="00FC2681"/>
    <w:rsid w:val="00FC2988"/>
    <w:rsid w:val="00FC3C2E"/>
    <w:rsid w:val="00FC419C"/>
    <w:rsid w:val="00FC465C"/>
    <w:rsid w:val="00FC4E6A"/>
    <w:rsid w:val="00FD12EC"/>
    <w:rsid w:val="00FE1F7B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B170D"/>
  <w15:docId w15:val="{A852BADD-860C-B143-9018-3C06E3F4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7A796A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link w:val="BalloonText"/>
    <w:uiPriority w:val="99"/>
    <w:rsid w:val="007A796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Alliance Investment Policy for Operating Funds</vt:lpstr>
    </vt:vector>
  </TitlesOfParts>
  <Company>Prudential Financial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Alliance Investment Policy for Operating Funds</dc:title>
  <dc:creator>c0j6002</dc:creator>
  <cp:lastModifiedBy>Jaye Isham</cp:lastModifiedBy>
  <cp:revision>5</cp:revision>
  <cp:lastPrinted>2009-09-10T20:54:00Z</cp:lastPrinted>
  <dcterms:created xsi:type="dcterms:W3CDTF">2019-04-01T13:58:00Z</dcterms:created>
  <dcterms:modified xsi:type="dcterms:W3CDTF">2022-01-17T15:30:00Z</dcterms:modified>
</cp:coreProperties>
</file>