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A3F5CC" w14:textId="0EA2FD45" w:rsidR="00B03F57" w:rsidRPr="0031020F" w:rsidRDefault="00075C77" w:rsidP="00066C0D">
      <w:pPr>
        <w:pStyle w:val="NoSpacing"/>
        <w:jc w:val="right"/>
        <w:rPr>
          <w:highlight w:val="yellow"/>
        </w:rPr>
      </w:pPr>
      <w:r w:rsidRPr="0031020F">
        <w:rPr>
          <w:highlight w:val="yellow"/>
        </w:rPr>
        <w:t>[PRESCRIBER ADDRESS BLOCK]</w:t>
      </w:r>
    </w:p>
    <w:p w14:paraId="1DF7217D" w14:textId="3D9803FE" w:rsidR="00716C3E" w:rsidRPr="0031020F" w:rsidRDefault="00716C3E" w:rsidP="00716C3E">
      <w:pPr>
        <w:pStyle w:val="NoSpacing"/>
        <w:rPr>
          <w:highlight w:val="yellow"/>
        </w:rPr>
      </w:pPr>
      <w:r>
        <w:rPr>
          <w:highlight w:val="yellow"/>
        </w:rPr>
        <w:t>[</w:t>
      </w:r>
      <w:r w:rsidRPr="0031020F">
        <w:rPr>
          <w:highlight w:val="yellow"/>
        </w:rPr>
        <w:t>Date</w:t>
      </w:r>
      <w:r>
        <w:rPr>
          <w:highlight w:val="yellow"/>
        </w:rPr>
        <w:t>]</w:t>
      </w:r>
    </w:p>
    <w:p w14:paraId="1DDAE9BB" w14:textId="72455E1B" w:rsidR="00075C77" w:rsidRPr="0031020F" w:rsidRDefault="00075C77" w:rsidP="00B03F57">
      <w:pPr>
        <w:pStyle w:val="NoSpacing"/>
        <w:rPr>
          <w:highlight w:val="yellow"/>
        </w:rPr>
      </w:pPr>
    </w:p>
    <w:p w14:paraId="6A383455" w14:textId="16C5EE30" w:rsidR="00075C77" w:rsidRDefault="00075C77" w:rsidP="00B03F57">
      <w:pPr>
        <w:pStyle w:val="NoSpacing"/>
      </w:pPr>
      <w:r w:rsidRPr="0031020F">
        <w:rPr>
          <w:highlight w:val="yellow"/>
        </w:rPr>
        <w:t>[INSURANCE ADDRESS BLOCK]</w:t>
      </w:r>
    </w:p>
    <w:p w14:paraId="100B8B5B" w14:textId="77777777" w:rsidR="00075C77" w:rsidRDefault="00075C77" w:rsidP="00B03F57">
      <w:pPr>
        <w:pStyle w:val="NoSpacing"/>
      </w:pPr>
    </w:p>
    <w:p w14:paraId="70F94329" w14:textId="79E98E78" w:rsidR="00B03F57" w:rsidRPr="0031020F" w:rsidRDefault="00B03F57" w:rsidP="00B03F57">
      <w:pPr>
        <w:pStyle w:val="NoSpacing"/>
        <w:rPr>
          <w:highlight w:val="yellow"/>
        </w:rPr>
      </w:pPr>
      <w:r w:rsidRPr="0031020F">
        <w:rPr>
          <w:highlight w:val="yellow"/>
        </w:rPr>
        <w:t>Insured Individual: Policy Holder Last Name, Policy Holder First Name</w:t>
      </w:r>
    </w:p>
    <w:p w14:paraId="6BCBA44F" w14:textId="6C5ABE1F" w:rsidR="00B03F57" w:rsidRPr="0031020F" w:rsidRDefault="00B03F57" w:rsidP="00B03F57">
      <w:pPr>
        <w:pStyle w:val="NoSpacing"/>
        <w:rPr>
          <w:highlight w:val="yellow"/>
        </w:rPr>
      </w:pPr>
      <w:r w:rsidRPr="0031020F">
        <w:rPr>
          <w:highlight w:val="yellow"/>
        </w:rPr>
        <w:t xml:space="preserve">Relationship to Patient: </w:t>
      </w:r>
    </w:p>
    <w:p w14:paraId="09FEE726" w14:textId="490C6602" w:rsidR="00B03F57" w:rsidRPr="0031020F" w:rsidRDefault="00B03F57" w:rsidP="00B03F57">
      <w:pPr>
        <w:pStyle w:val="NoSpacing"/>
        <w:rPr>
          <w:highlight w:val="yellow"/>
        </w:rPr>
      </w:pPr>
      <w:r w:rsidRPr="0031020F">
        <w:rPr>
          <w:highlight w:val="yellow"/>
        </w:rPr>
        <w:t xml:space="preserve">Policy Number: </w:t>
      </w:r>
    </w:p>
    <w:p w14:paraId="7BB240ED" w14:textId="3DC77D50" w:rsidR="00B03F57" w:rsidRDefault="00B03F57" w:rsidP="00B03F57">
      <w:pPr>
        <w:pStyle w:val="NoSpacing"/>
      </w:pPr>
      <w:r w:rsidRPr="0031020F">
        <w:rPr>
          <w:highlight w:val="yellow"/>
        </w:rPr>
        <w:t>Group Number:</w:t>
      </w:r>
      <w:r>
        <w:t xml:space="preserve"> </w:t>
      </w:r>
    </w:p>
    <w:p w14:paraId="291F3C4F" w14:textId="22372167" w:rsidR="00B03F57" w:rsidRDefault="00B03F57" w:rsidP="00B03F57">
      <w:pPr>
        <w:pStyle w:val="NoSpacing"/>
      </w:pPr>
    </w:p>
    <w:p w14:paraId="3809207E" w14:textId="1ED06F2D" w:rsidR="00B03F57" w:rsidRDefault="00075C77" w:rsidP="00B03F57">
      <w:pPr>
        <w:pStyle w:val="NoSpacing"/>
      </w:pPr>
      <w:r>
        <w:t>To Whom It May Concern:</w:t>
      </w:r>
      <w:r w:rsidR="00B03F57">
        <w:t xml:space="preserve"> </w:t>
      </w:r>
    </w:p>
    <w:p w14:paraId="1090A41B" w14:textId="17F45AEE" w:rsidR="00B03F57" w:rsidRDefault="00B03F57" w:rsidP="00B03F57">
      <w:pPr>
        <w:pStyle w:val="NoSpacing"/>
      </w:pPr>
    </w:p>
    <w:p w14:paraId="3A03B33D" w14:textId="387BB15F" w:rsidR="00B03F57" w:rsidRDefault="00B03F57" w:rsidP="00B03F57">
      <w:pPr>
        <w:pStyle w:val="NoSpacing"/>
      </w:pPr>
      <w:r>
        <w:t xml:space="preserve">I am writing you on behalf of my patient, </w:t>
      </w:r>
      <w:r w:rsidRPr="0031020F">
        <w:rPr>
          <w:i/>
          <w:iCs/>
          <w:highlight w:val="yellow"/>
        </w:rPr>
        <w:t>Patient Name</w:t>
      </w:r>
      <w:r>
        <w:t>, to provide information about EPIDIOLEX® (cannabidiol) and request reimbursement for this medication. EPIDIOLEX® must remain consistently accessible and efficiently processed by pay</w:t>
      </w:r>
      <w:r w:rsidR="00D25517">
        <w:t>o</w:t>
      </w:r>
      <w:r>
        <w:t>rs and specialty pharmacies as uncontrolled epilepsy is associated with profoundly decreased outcomes</w:t>
      </w:r>
      <w:r w:rsidR="007A04AE">
        <w:t xml:space="preserve"> in patients with tuberous sclerosis complex (TSC)</w:t>
      </w:r>
      <w:r>
        <w:t>.</w:t>
      </w:r>
      <w:r w:rsidR="00805641">
        <w:t xml:space="preserve"> </w:t>
      </w:r>
      <w:r w:rsidR="007A04AE" w:rsidRPr="0031020F">
        <w:rPr>
          <w:i/>
          <w:iCs/>
          <w:highlight w:val="yellow"/>
        </w:rPr>
        <w:t>Patient Name</w:t>
      </w:r>
      <w:r w:rsidR="007A04AE">
        <w:t xml:space="preserve"> has been under my care since </w:t>
      </w:r>
      <w:r w:rsidR="007A04AE" w:rsidRPr="0031020F">
        <w:rPr>
          <w:i/>
          <w:iCs/>
          <w:highlight w:val="yellow"/>
        </w:rPr>
        <w:t>date</w:t>
      </w:r>
      <w:r w:rsidR="007A04AE">
        <w:t xml:space="preserve"> for the treatment and management of TSC.</w:t>
      </w:r>
    </w:p>
    <w:p w14:paraId="659EF4E2" w14:textId="1E255C8B" w:rsidR="00B03F57" w:rsidRDefault="00B03F57" w:rsidP="00B03F57">
      <w:pPr>
        <w:pStyle w:val="NoSpacing"/>
      </w:pPr>
    </w:p>
    <w:p w14:paraId="1A5BFD31" w14:textId="0AEE3F4C" w:rsidR="00B03F57" w:rsidRDefault="00B03F57" w:rsidP="00B03F57">
      <w:pPr>
        <w:pStyle w:val="NoSpacing"/>
      </w:pPr>
      <w:r>
        <w:t xml:space="preserve">It is my understanding that </w:t>
      </w:r>
      <w:r w:rsidRPr="0031020F">
        <w:rPr>
          <w:i/>
          <w:iCs/>
          <w:highlight w:val="yellow"/>
        </w:rPr>
        <w:t>Patient Name’s</w:t>
      </w:r>
      <w:r>
        <w:t xml:space="preserve"> plan does not cover EPIDIOLEX® for the treatment of </w:t>
      </w:r>
      <w:r w:rsidR="00F9178E">
        <w:t xml:space="preserve">seizures associated with </w:t>
      </w:r>
      <w:r>
        <w:t xml:space="preserve">tuberous sclerosis complex as of writing this letter. However, it is in my professional opinion as </w:t>
      </w:r>
      <w:r w:rsidRPr="0031020F">
        <w:rPr>
          <w:i/>
          <w:iCs/>
          <w:highlight w:val="yellow"/>
        </w:rPr>
        <w:t>Patient Name’s</w:t>
      </w:r>
      <w:r>
        <w:rPr>
          <w:i/>
          <w:iCs/>
        </w:rPr>
        <w:t xml:space="preserve"> </w:t>
      </w:r>
      <w:r>
        <w:t xml:space="preserve">specialist that it is medically necessary due to </w:t>
      </w:r>
      <w:r w:rsidR="0031020F" w:rsidRPr="0031020F">
        <w:rPr>
          <w:i/>
          <w:iCs/>
          <w:highlight w:val="yellow"/>
        </w:rPr>
        <w:t>patient’s pronoun</w:t>
      </w:r>
      <w:r>
        <w:t xml:space="preserve"> recurrent seizures. </w:t>
      </w:r>
    </w:p>
    <w:p w14:paraId="226AE865" w14:textId="7A6239E3" w:rsidR="00B03F57" w:rsidRDefault="00B03F57" w:rsidP="00B03F57">
      <w:pPr>
        <w:pStyle w:val="NoSpacing"/>
      </w:pPr>
    </w:p>
    <w:p w14:paraId="2553B972" w14:textId="3E65EE0D" w:rsidR="00B03F57" w:rsidRDefault="00B03F57" w:rsidP="00B03F57">
      <w:pPr>
        <w:pStyle w:val="NoSpacing"/>
      </w:pPr>
      <w:r>
        <w:t xml:space="preserve">TSC is a rare genetic neurocutaneous syndrome that can affect multiple organ systems. It is an autosomal dominant disorder caused by </w:t>
      </w:r>
      <w:r w:rsidR="00E35F25">
        <w:t>pathogenic variants</w:t>
      </w:r>
      <w:r>
        <w:t xml:space="preserve"> in either the </w:t>
      </w:r>
      <w:r>
        <w:rPr>
          <w:i/>
          <w:iCs/>
        </w:rPr>
        <w:t xml:space="preserve">TSC1 </w:t>
      </w:r>
      <w:r>
        <w:t xml:space="preserve">or </w:t>
      </w:r>
      <w:r>
        <w:rPr>
          <w:i/>
          <w:iCs/>
        </w:rPr>
        <w:t>TSC2</w:t>
      </w:r>
      <w:r>
        <w:t xml:space="preserve"> gene, leading to the formation of nonmalignant tumors and cysts affecting the brain, lungs, kidneys, hearts, eyes, and skin.</w:t>
      </w:r>
      <w:r w:rsidR="005B3978">
        <w:rPr>
          <w:rStyle w:val="FootnoteReference"/>
        </w:rPr>
        <w:footnoteReference w:id="1"/>
      </w:r>
      <w:r>
        <w:t xml:space="preserve"> </w:t>
      </w:r>
      <w:r w:rsidR="00492035">
        <w:t xml:space="preserve">TSC affects approximately 1 in 6,000 live births, two-thirds of which </w:t>
      </w:r>
      <w:r w:rsidR="00CE310B">
        <w:t xml:space="preserve">arise from </w:t>
      </w:r>
      <w:r w:rsidR="00492035">
        <w:rPr>
          <w:i/>
          <w:iCs/>
        </w:rPr>
        <w:t xml:space="preserve">de </w:t>
      </w:r>
      <w:r w:rsidR="00492035" w:rsidRPr="00492035">
        <w:rPr>
          <w:i/>
          <w:iCs/>
        </w:rPr>
        <w:t>novo</w:t>
      </w:r>
      <w:r w:rsidR="00492035">
        <w:rPr>
          <w:i/>
          <w:iCs/>
        </w:rPr>
        <w:t xml:space="preserve"> </w:t>
      </w:r>
      <w:r w:rsidR="00492035">
        <w:t>mutations.</w:t>
      </w:r>
      <w:r w:rsidR="005B3978">
        <w:rPr>
          <w:rStyle w:val="FootnoteReference"/>
        </w:rPr>
        <w:footnoteReference w:id="2"/>
      </w:r>
      <w:r w:rsidR="00731028">
        <w:t xml:space="preserve"> 85% of people with TSC experience seizures, of which </w:t>
      </w:r>
      <w:r w:rsidR="00CE310B">
        <w:t xml:space="preserve">more than </w:t>
      </w:r>
      <w:r w:rsidR="00731028">
        <w:t>50% have intractable epilepsy.</w:t>
      </w:r>
      <w:r w:rsidR="005B3978">
        <w:rPr>
          <w:rStyle w:val="FootnoteReference"/>
        </w:rPr>
        <w:footnoteReference w:id="3"/>
      </w:r>
      <w:r w:rsidR="00492035">
        <w:t xml:space="preserve"> </w:t>
      </w:r>
      <w:r w:rsidRPr="00492035">
        <w:t>Quality</w:t>
      </w:r>
      <w:r>
        <w:t xml:space="preserve"> of life is usually most impacted by the neurological manifestations of TSC particularly during childhood and adolescence. These symptoms include seizures and intractable epilepsy, learning disorders, and cognitive impairment. </w:t>
      </w:r>
    </w:p>
    <w:p w14:paraId="731BB2DA" w14:textId="08A959E6" w:rsidR="007361BD" w:rsidRDefault="007361BD" w:rsidP="00B03F57">
      <w:pPr>
        <w:pStyle w:val="NoSpacing"/>
      </w:pPr>
    </w:p>
    <w:p w14:paraId="63EA740A" w14:textId="6D1CD675" w:rsidR="007361BD" w:rsidRPr="00B03F57" w:rsidRDefault="007361BD" w:rsidP="00B03F57">
      <w:pPr>
        <w:pStyle w:val="NoSpacing"/>
      </w:pPr>
      <w:r>
        <w:t xml:space="preserve">The TSC community </w:t>
      </w:r>
      <w:r w:rsidR="007A04AE">
        <w:t>has invested time and resources into furthering research into cannabidiol and EPIDIOL</w:t>
      </w:r>
      <w:r w:rsidR="00850D98">
        <w:t>E</w:t>
      </w:r>
      <w:r w:rsidR="007A04AE">
        <w:t>X®</w:t>
      </w:r>
      <w:r w:rsidR="00196DD7">
        <w:t xml:space="preserve">, including participation in a phase III </w:t>
      </w:r>
      <w:r w:rsidR="00D17419">
        <w:t xml:space="preserve">double-blinded, </w:t>
      </w:r>
      <w:r w:rsidR="00196DD7">
        <w:t>randomized controlled trial.</w:t>
      </w:r>
      <w:r>
        <w:t xml:space="preserve"> </w:t>
      </w:r>
      <w:r w:rsidR="001B767D">
        <w:t>Data</w:t>
      </w:r>
      <w:r>
        <w:t xml:space="preserve"> from </w:t>
      </w:r>
      <w:r w:rsidR="00196DD7">
        <w:t xml:space="preserve">this trial, </w:t>
      </w:r>
      <w:r>
        <w:t>GWPCARE6 (</w:t>
      </w:r>
      <w:hyperlink r:id="rId8" w:history="1">
        <w:r w:rsidR="00CE310B" w:rsidRPr="00DD503F">
          <w:rPr>
            <w:rStyle w:val="Hyperlink"/>
          </w:rPr>
          <w:t>NCT02544763</w:t>
        </w:r>
      </w:hyperlink>
      <w:r>
        <w:t>)</w:t>
      </w:r>
      <w:r w:rsidR="00E35F25">
        <w:rPr>
          <w:rStyle w:val="FootnoteReference"/>
        </w:rPr>
        <w:footnoteReference w:id="4"/>
      </w:r>
      <w:r w:rsidR="00196DD7">
        <w:t xml:space="preserve"> </w:t>
      </w:r>
      <w:r w:rsidR="001B767D">
        <w:t>and its subsequent open-label extension (</w:t>
      </w:r>
      <w:hyperlink r:id="rId9" w:history="1">
        <w:r w:rsidR="001B767D" w:rsidRPr="00DD503F">
          <w:rPr>
            <w:rStyle w:val="Hyperlink"/>
          </w:rPr>
          <w:t>NCT02544750</w:t>
        </w:r>
      </w:hyperlink>
      <w:r w:rsidR="001B767D">
        <w:t>)</w:t>
      </w:r>
      <w:r w:rsidR="002270E3">
        <w:t>,</w:t>
      </w:r>
      <w:r w:rsidR="001B767D">
        <w:t xml:space="preserve"> </w:t>
      </w:r>
      <w:r w:rsidR="00196DD7">
        <w:t>show</w:t>
      </w:r>
      <w:r>
        <w:t xml:space="preserve"> EPIDIOLEX® was “well-tolerated in patients with TSC” and “reductions in seizures were maintained through 48 weeks with a high proportion of patients reporting global improvement.”</w:t>
      </w:r>
      <w:r w:rsidR="005B3978">
        <w:rPr>
          <w:rStyle w:val="FootnoteReference"/>
        </w:rPr>
        <w:footnoteReference w:id="5"/>
      </w:r>
      <w:r>
        <w:t xml:space="preserve"> </w:t>
      </w:r>
    </w:p>
    <w:p w14:paraId="22B07C56" w14:textId="679EBBE4" w:rsidR="00B03F57" w:rsidRDefault="00B03F57" w:rsidP="00B03F57">
      <w:pPr>
        <w:pStyle w:val="NoSpacing"/>
      </w:pPr>
    </w:p>
    <w:p w14:paraId="4F9B1310" w14:textId="53FCCB9D" w:rsidR="00B03F57" w:rsidRDefault="00B03F57" w:rsidP="00B03F57">
      <w:pPr>
        <w:pStyle w:val="NoSpacing"/>
      </w:pPr>
      <w:r>
        <w:t>On July 31, 2020 the Food and Drug Administration (FDA) approved a third indication for EPIDIOLEX® for the treatment of seizures associated with tuberous sclerosis complex in patients aged 1 and older.</w:t>
      </w:r>
      <w:r w:rsidR="005B3978">
        <w:rPr>
          <w:rStyle w:val="FootnoteReference"/>
        </w:rPr>
        <w:footnoteReference w:id="6"/>
      </w:r>
      <w:r w:rsidR="00805641">
        <w:t xml:space="preserve"> </w:t>
      </w:r>
      <w:r>
        <w:t xml:space="preserve">EPIDIOLEX® is also indicated for the treatment of seizures associated with Lennox-Gastaut syndrome and Dravet syndrome for the same age range of patients. </w:t>
      </w:r>
    </w:p>
    <w:p w14:paraId="4A1D6BCA" w14:textId="65BD1406" w:rsidR="007A04AE" w:rsidRDefault="007A04AE" w:rsidP="00B03F57">
      <w:pPr>
        <w:pStyle w:val="NoSpacing"/>
      </w:pPr>
    </w:p>
    <w:p w14:paraId="2B71D94B" w14:textId="77777777" w:rsidR="00727E53" w:rsidRDefault="00727E53" w:rsidP="00B03F57">
      <w:pPr>
        <w:pStyle w:val="NoSpacing"/>
        <w:rPr>
          <w:highlight w:val="yellow"/>
        </w:rPr>
      </w:pPr>
      <w:r>
        <w:rPr>
          <w:highlight w:val="yellow"/>
        </w:rPr>
        <w:t>[OPTIONAL: EXTRA MATERIALS]</w:t>
      </w:r>
    </w:p>
    <w:p w14:paraId="21B61CBF" w14:textId="03AD53BB" w:rsidR="007A04AE" w:rsidRDefault="007A04AE" w:rsidP="00B03F57">
      <w:pPr>
        <w:pStyle w:val="NoSpacing"/>
      </w:pPr>
      <w:r w:rsidRPr="00727E53">
        <w:rPr>
          <w:highlight w:val="yellow"/>
        </w:rPr>
        <w:t>I am including with this letter the following documentation to assist and expedite your coverage decision:</w:t>
      </w:r>
      <w:r>
        <w:t xml:space="preserve"> </w:t>
      </w:r>
    </w:p>
    <w:p w14:paraId="7CE6F5A5" w14:textId="6B4156C0" w:rsidR="007A04AE" w:rsidRPr="00E413A2" w:rsidRDefault="007A04AE" w:rsidP="007A04AE">
      <w:pPr>
        <w:pStyle w:val="NoSpacing"/>
        <w:numPr>
          <w:ilvl w:val="0"/>
          <w:numId w:val="1"/>
        </w:numPr>
        <w:rPr>
          <w:i/>
          <w:iCs/>
          <w:highlight w:val="yellow"/>
        </w:rPr>
      </w:pPr>
      <w:r w:rsidRPr="00E413A2">
        <w:rPr>
          <w:i/>
          <w:iCs/>
          <w:highlight w:val="yellow"/>
        </w:rPr>
        <w:t xml:space="preserve">Previous and current anti-epileptic therapies used by your patient and why they were discontinued (efficacy or tolerability) </w:t>
      </w:r>
    </w:p>
    <w:p w14:paraId="44AA0740" w14:textId="68144AC3" w:rsidR="007A04AE" w:rsidRPr="00E413A2" w:rsidRDefault="007A04AE" w:rsidP="007A04AE">
      <w:pPr>
        <w:pStyle w:val="NoSpacing"/>
        <w:numPr>
          <w:ilvl w:val="0"/>
          <w:numId w:val="1"/>
        </w:numPr>
        <w:rPr>
          <w:i/>
          <w:iCs/>
          <w:highlight w:val="yellow"/>
        </w:rPr>
      </w:pPr>
      <w:r w:rsidRPr="00E413A2">
        <w:rPr>
          <w:i/>
          <w:iCs/>
          <w:highlight w:val="yellow"/>
        </w:rPr>
        <w:t>Pertinent recent laboratory or diagnostic tests, such as: EEG, MRI, genetic testing, liver function tests</w:t>
      </w:r>
    </w:p>
    <w:p w14:paraId="6D84FB92" w14:textId="66F19793" w:rsidR="007A04AE" w:rsidRPr="00E413A2" w:rsidRDefault="007A04AE" w:rsidP="007A04AE">
      <w:pPr>
        <w:pStyle w:val="NoSpacing"/>
        <w:numPr>
          <w:ilvl w:val="0"/>
          <w:numId w:val="1"/>
        </w:numPr>
        <w:rPr>
          <w:i/>
          <w:iCs/>
          <w:highlight w:val="yellow"/>
        </w:rPr>
      </w:pPr>
      <w:r w:rsidRPr="00E413A2">
        <w:rPr>
          <w:i/>
          <w:iCs/>
          <w:highlight w:val="yellow"/>
        </w:rPr>
        <w:t>Other supporting documents/medical records to substantiate why this would be the next logical step in your medical judgment to help the patient achieve better seizure reduction</w:t>
      </w:r>
    </w:p>
    <w:p w14:paraId="5D50D138" w14:textId="7285FF52" w:rsidR="007A04AE" w:rsidRDefault="007A04AE" w:rsidP="007A04AE">
      <w:pPr>
        <w:pStyle w:val="NoSpacing"/>
      </w:pPr>
    </w:p>
    <w:p w14:paraId="19A0F0E4" w14:textId="71834C81" w:rsidR="008D0FA9" w:rsidRDefault="009816C7" w:rsidP="007A04AE">
      <w:pPr>
        <w:pStyle w:val="NoSpacing"/>
      </w:pPr>
      <w:r>
        <w:t xml:space="preserve">Based on the clinical </w:t>
      </w:r>
      <w:r w:rsidR="00727E53">
        <w:t>data</w:t>
      </w:r>
      <w:r>
        <w:t xml:space="preserve"> and recent </w:t>
      </w:r>
      <w:r w:rsidR="00727E53">
        <w:t xml:space="preserve">FDA </w:t>
      </w:r>
      <w:r>
        <w:t xml:space="preserve">indication addition, I request your approval of EPIDIOLEX® as appropriate and medically necessary for my patient. If any further information is necessary of this request, please contact me at </w:t>
      </w:r>
      <w:r w:rsidRPr="0015362A">
        <w:rPr>
          <w:i/>
          <w:iCs/>
          <w:highlight w:val="yellow"/>
        </w:rPr>
        <w:t>phone number</w:t>
      </w:r>
      <w:r>
        <w:rPr>
          <w:i/>
          <w:iCs/>
        </w:rPr>
        <w:t xml:space="preserve"> </w:t>
      </w:r>
      <w:r>
        <w:t xml:space="preserve">to discuss. </w:t>
      </w:r>
    </w:p>
    <w:p w14:paraId="1176ED7E" w14:textId="1A81A842" w:rsidR="009816C7" w:rsidRDefault="009816C7" w:rsidP="007A04AE">
      <w:pPr>
        <w:pStyle w:val="NoSpacing"/>
      </w:pPr>
    </w:p>
    <w:p w14:paraId="7B20A944" w14:textId="4E832409" w:rsidR="009816C7" w:rsidRDefault="009816C7" w:rsidP="007A04AE">
      <w:pPr>
        <w:pStyle w:val="NoSpacing"/>
      </w:pPr>
      <w:r>
        <w:t xml:space="preserve">Thank you for your attention to this request. </w:t>
      </w:r>
    </w:p>
    <w:p w14:paraId="180A59B2" w14:textId="601FAEC5" w:rsidR="009816C7" w:rsidRDefault="009816C7" w:rsidP="007A04AE">
      <w:pPr>
        <w:pStyle w:val="NoSpacing"/>
      </w:pPr>
    </w:p>
    <w:p w14:paraId="3A80A2BE" w14:textId="7936FE6B" w:rsidR="009816C7" w:rsidRDefault="009816C7" w:rsidP="007A04AE">
      <w:pPr>
        <w:pStyle w:val="NoSpacing"/>
      </w:pPr>
      <w:r>
        <w:t xml:space="preserve">Sincerely, </w:t>
      </w:r>
    </w:p>
    <w:p w14:paraId="4DCB46FB" w14:textId="0A6EEB9F" w:rsidR="009816C7" w:rsidRDefault="009816C7" w:rsidP="007A04AE">
      <w:pPr>
        <w:pStyle w:val="NoSpacing"/>
      </w:pPr>
    </w:p>
    <w:p w14:paraId="5C51DD78" w14:textId="4BAA32F6" w:rsidR="009816C7" w:rsidRDefault="009816C7" w:rsidP="007A04AE">
      <w:pPr>
        <w:pStyle w:val="NoSpacing"/>
      </w:pPr>
    </w:p>
    <w:p w14:paraId="5B71F68F" w14:textId="3E0CBB11" w:rsidR="009816C7" w:rsidRDefault="009816C7" w:rsidP="007A04AE">
      <w:pPr>
        <w:pStyle w:val="NoSpacing"/>
      </w:pPr>
    </w:p>
    <w:p w14:paraId="09716354" w14:textId="5DFC536C" w:rsidR="009816C7" w:rsidRDefault="009816C7" w:rsidP="007A04AE">
      <w:pPr>
        <w:pStyle w:val="NoSpacing"/>
      </w:pPr>
    </w:p>
    <w:p w14:paraId="34194222" w14:textId="480ADB68" w:rsidR="009816C7" w:rsidRDefault="009816C7" w:rsidP="007A04AE">
      <w:pPr>
        <w:pStyle w:val="NoSpacing"/>
      </w:pPr>
    </w:p>
    <w:p w14:paraId="47118074" w14:textId="680888FC" w:rsidR="00B03F57" w:rsidRPr="00B03F57" w:rsidRDefault="009816C7" w:rsidP="00B03F57">
      <w:pPr>
        <w:pStyle w:val="NoSpacing"/>
      </w:pPr>
      <w:r w:rsidRPr="0015362A">
        <w:rPr>
          <w:highlight w:val="yellow"/>
        </w:rPr>
        <w:t>Prescriber Name</w:t>
      </w:r>
    </w:p>
    <w:sectPr w:rsidR="00B03F57" w:rsidRPr="00B03F57" w:rsidSect="007C5353"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C90D51" w14:textId="77777777" w:rsidR="006815F2" w:rsidRDefault="006815F2" w:rsidP="005B3978">
      <w:pPr>
        <w:spacing w:after="0" w:line="240" w:lineRule="auto"/>
      </w:pPr>
      <w:r>
        <w:separator/>
      </w:r>
    </w:p>
  </w:endnote>
  <w:endnote w:type="continuationSeparator" w:id="0">
    <w:p w14:paraId="6029E97C" w14:textId="77777777" w:rsidR="006815F2" w:rsidRDefault="006815F2" w:rsidP="005B3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39D2A6" w14:textId="77777777" w:rsidR="006815F2" w:rsidRDefault="006815F2" w:rsidP="006508F7">
      <w:pPr>
        <w:spacing w:after="0" w:line="240" w:lineRule="auto"/>
        <w:jc w:val="center"/>
      </w:pPr>
      <w:r>
        <w:separator/>
      </w:r>
    </w:p>
  </w:footnote>
  <w:footnote w:type="continuationSeparator" w:id="0">
    <w:p w14:paraId="4D8E56BF" w14:textId="77777777" w:rsidR="006815F2" w:rsidRDefault="006815F2" w:rsidP="005B3978">
      <w:pPr>
        <w:spacing w:after="0" w:line="240" w:lineRule="auto"/>
      </w:pPr>
      <w:r>
        <w:continuationSeparator/>
      </w:r>
    </w:p>
  </w:footnote>
  <w:footnote w:id="1">
    <w:p w14:paraId="72445E86" w14:textId="1E504817" w:rsidR="005B3978" w:rsidRPr="00D41599" w:rsidRDefault="005B3978">
      <w:pPr>
        <w:pStyle w:val="FootnoteText"/>
        <w:rPr>
          <w:sz w:val="18"/>
          <w:szCs w:val="18"/>
        </w:rPr>
      </w:pPr>
      <w:r w:rsidRPr="00D41599">
        <w:rPr>
          <w:rStyle w:val="FootnoteReference"/>
          <w:sz w:val="18"/>
          <w:szCs w:val="18"/>
        </w:rPr>
        <w:footnoteRef/>
      </w:r>
      <w:r w:rsidRPr="00D41599">
        <w:rPr>
          <w:sz w:val="18"/>
          <w:szCs w:val="18"/>
        </w:rPr>
        <w:t xml:space="preserve"> </w:t>
      </w:r>
      <w:hyperlink r:id="rId1" w:anchor="definition" w:history="1">
        <w:r w:rsidRPr="00D41599">
          <w:rPr>
            <w:rStyle w:val="Hyperlink"/>
            <w:sz w:val="18"/>
            <w:szCs w:val="18"/>
          </w:rPr>
          <w:t>https://ghr.nlm.nih.gov/condition/tuberous-sclerosis-complex#definition</w:t>
        </w:r>
      </w:hyperlink>
    </w:p>
  </w:footnote>
  <w:footnote w:id="2">
    <w:p w14:paraId="47C39BBD" w14:textId="12718AED" w:rsidR="005B3978" w:rsidRPr="00D41599" w:rsidRDefault="005B3978">
      <w:pPr>
        <w:pStyle w:val="FootnoteText"/>
        <w:rPr>
          <w:sz w:val="18"/>
          <w:szCs w:val="18"/>
        </w:rPr>
      </w:pPr>
      <w:r w:rsidRPr="00D41599">
        <w:rPr>
          <w:rStyle w:val="FootnoteReference"/>
          <w:sz w:val="18"/>
          <w:szCs w:val="18"/>
        </w:rPr>
        <w:footnoteRef/>
      </w:r>
      <w:r w:rsidRPr="00D41599">
        <w:rPr>
          <w:sz w:val="18"/>
          <w:szCs w:val="18"/>
        </w:rPr>
        <w:t xml:space="preserve"> Krueger, D. A., Northrup, H., &amp; Tuberous, I. (2013). </w:t>
      </w:r>
      <w:r w:rsidRPr="00D41599">
        <w:rPr>
          <w:i/>
          <w:iCs/>
          <w:sz w:val="18"/>
          <w:szCs w:val="18"/>
        </w:rPr>
        <w:t>Pediatric Neurology</w:t>
      </w:r>
      <w:r w:rsidR="008F091B" w:rsidRPr="00D41599">
        <w:rPr>
          <w:i/>
          <w:iCs/>
          <w:sz w:val="18"/>
          <w:szCs w:val="18"/>
        </w:rPr>
        <w:t>.</w:t>
      </w:r>
      <w:r w:rsidRPr="00D41599">
        <w:rPr>
          <w:i/>
          <w:iCs/>
          <w:sz w:val="18"/>
          <w:szCs w:val="18"/>
        </w:rPr>
        <w:t xml:space="preserve"> </w:t>
      </w:r>
      <w:r w:rsidRPr="00D41599">
        <w:rPr>
          <w:sz w:val="18"/>
          <w:szCs w:val="18"/>
        </w:rPr>
        <w:t>Tuberous Sclerosis Complex Surveillance and Management: Recommendations of the 2012 International Tuberous Sclerosis Complex Consensus Conference q. 49. https://doi.org/10.1016/j.pediatrneurol.2013.08.002</w:t>
      </w:r>
    </w:p>
  </w:footnote>
  <w:footnote w:id="3">
    <w:p w14:paraId="5C8366FB" w14:textId="43B36732" w:rsidR="005B3978" w:rsidRPr="00D41599" w:rsidRDefault="005B3978">
      <w:pPr>
        <w:pStyle w:val="FootnoteText"/>
        <w:rPr>
          <w:sz w:val="18"/>
          <w:szCs w:val="18"/>
        </w:rPr>
      </w:pPr>
      <w:r w:rsidRPr="00D41599">
        <w:rPr>
          <w:rStyle w:val="FootnoteReference"/>
          <w:sz w:val="18"/>
          <w:szCs w:val="18"/>
        </w:rPr>
        <w:footnoteRef/>
      </w:r>
      <w:r w:rsidRPr="00D41599">
        <w:rPr>
          <w:sz w:val="18"/>
          <w:szCs w:val="18"/>
        </w:rPr>
        <w:t xml:space="preserve"> Chu-Shore, C. J., Major, P., Camposano, S., Muzykewicz, D., &amp; Thiele, E. A. (2010). The natural history of epilepsy in tuberous sclerosis complex. </w:t>
      </w:r>
      <w:r w:rsidRPr="00D41599">
        <w:rPr>
          <w:i/>
          <w:iCs/>
          <w:sz w:val="18"/>
          <w:szCs w:val="18"/>
        </w:rPr>
        <w:t>Epilepsia</w:t>
      </w:r>
      <w:r w:rsidRPr="00D41599">
        <w:rPr>
          <w:sz w:val="18"/>
          <w:szCs w:val="18"/>
        </w:rPr>
        <w:t xml:space="preserve">, 51(7), 1236–1241. </w:t>
      </w:r>
      <w:hyperlink r:id="rId2" w:history="1">
        <w:r w:rsidRPr="00D41599">
          <w:rPr>
            <w:rStyle w:val="Hyperlink"/>
            <w:sz w:val="18"/>
            <w:szCs w:val="18"/>
          </w:rPr>
          <w:t>https://doi.org/10.1111/j.1528-1167.2009.02474.x</w:t>
        </w:r>
      </w:hyperlink>
      <w:r w:rsidRPr="00D41599">
        <w:rPr>
          <w:sz w:val="18"/>
          <w:szCs w:val="18"/>
        </w:rPr>
        <w:t xml:space="preserve"> </w:t>
      </w:r>
    </w:p>
  </w:footnote>
  <w:footnote w:id="4">
    <w:p w14:paraId="1E679B12" w14:textId="34583387" w:rsidR="00E35F25" w:rsidRPr="00D41599" w:rsidRDefault="00E35F25">
      <w:pPr>
        <w:pStyle w:val="FootnoteText"/>
        <w:rPr>
          <w:sz w:val="18"/>
          <w:szCs w:val="18"/>
        </w:rPr>
      </w:pPr>
      <w:r w:rsidRPr="00D41599">
        <w:rPr>
          <w:rStyle w:val="FootnoteReference"/>
          <w:sz w:val="18"/>
          <w:szCs w:val="18"/>
        </w:rPr>
        <w:footnoteRef/>
      </w:r>
      <w:r w:rsidRPr="00D41599">
        <w:rPr>
          <w:sz w:val="18"/>
          <w:szCs w:val="18"/>
        </w:rPr>
        <w:t xml:space="preserve"> Thiele E, Wong M. Cannabidiol (CBD) treatment in patients with seizures associated with tuberous sclerosis complex: a randomized, double-blind, placebo-controlled phase 3 trial (GWPCARE6). Presented at: AES 2019; December 7–10; Baltimore, Maryland. Abstract 1.293. </w:t>
      </w:r>
      <w:hyperlink r:id="rId3" w:history="1">
        <w:r w:rsidRPr="00D41599">
          <w:rPr>
            <w:rStyle w:val="Hyperlink"/>
            <w:sz w:val="18"/>
            <w:szCs w:val="18"/>
          </w:rPr>
          <w:t>https://www.aesnet.org/meetings_events/annual_meeting_abstracts/view/2421288</w:t>
        </w:r>
      </w:hyperlink>
      <w:r w:rsidRPr="00D41599">
        <w:rPr>
          <w:sz w:val="18"/>
          <w:szCs w:val="18"/>
        </w:rPr>
        <w:t xml:space="preserve"> </w:t>
      </w:r>
    </w:p>
  </w:footnote>
  <w:footnote w:id="5">
    <w:p w14:paraId="6CFA116B" w14:textId="293CAB38" w:rsidR="005B3978" w:rsidRPr="00D41599" w:rsidRDefault="005B3978">
      <w:pPr>
        <w:pStyle w:val="FootnoteText"/>
        <w:rPr>
          <w:sz w:val="18"/>
          <w:szCs w:val="18"/>
        </w:rPr>
      </w:pPr>
      <w:r w:rsidRPr="00D41599">
        <w:rPr>
          <w:rStyle w:val="FootnoteReference"/>
          <w:sz w:val="18"/>
          <w:szCs w:val="18"/>
        </w:rPr>
        <w:footnoteRef/>
      </w:r>
      <w:r w:rsidRPr="00D41599">
        <w:rPr>
          <w:sz w:val="18"/>
          <w:szCs w:val="18"/>
        </w:rPr>
        <w:t xml:space="preserve"> Thiele, E., Bebin, E. M</w:t>
      </w:r>
      <w:r w:rsidR="006550B9" w:rsidRPr="00D41599">
        <w:rPr>
          <w:sz w:val="18"/>
          <w:szCs w:val="18"/>
        </w:rPr>
        <w:t>, et al</w:t>
      </w:r>
      <w:r w:rsidRPr="00D41599">
        <w:rPr>
          <w:sz w:val="18"/>
          <w:szCs w:val="18"/>
        </w:rPr>
        <w:t xml:space="preserve">. (2020). Long-term Safety and Efficacy of Cannabidiol (CBD) for the Treatment of Seizures in Patients with Tuberous Sclerosis Complex (TSC) in an Open-label Extension (OLE) Trial (GWPCARE6) (677). </w:t>
      </w:r>
      <w:r w:rsidRPr="00D41599">
        <w:rPr>
          <w:i/>
          <w:iCs/>
          <w:sz w:val="18"/>
          <w:szCs w:val="18"/>
        </w:rPr>
        <w:t>Neurology</w:t>
      </w:r>
      <w:r w:rsidRPr="00D41599">
        <w:rPr>
          <w:sz w:val="18"/>
          <w:szCs w:val="18"/>
        </w:rPr>
        <w:t xml:space="preserve">, 94(15 Supplement), 677. Retrieved from </w:t>
      </w:r>
      <w:hyperlink r:id="rId4" w:history="1">
        <w:r w:rsidRPr="00D41599">
          <w:rPr>
            <w:rStyle w:val="Hyperlink"/>
            <w:sz w:val="18"/>
            <w:szCs w:val="18"/>
          </w:rPr>
          <w:t>http://n.neurology.org/content/94/15_Supplement/677.abstract</w:t>
        </w:r>
      </w:hyperlink>
      <w:r w:rsidRPr="00D41599">
        <w:rPr>
          <w:sz w:val="18"/>
          <w:szCs w:val="18"/>
        </w:rPr>
        <w:t xml:space="preserve"> </w:t>
      </w:r>
    </w:p>
  </w:footnote>
  <w:footnote w:id="6">
    <w:p w14:paraId="1F3C016A" w14:textId="200C9253" w:rsidR="005B3978" w:rsidRPr="00D41599" w:rsidRDefault="005B3978">
      <w:pPr>
        <w:pStyle w:val="FootnoteText"/>
        <w:rPr>
          <w:sz w:val="18"/>
          <w:szCs w:val="18"/>
        </w:rPr>
      </w:pPr>
      <w:r w:rsidRPr="00D41599">
        <w:rPr>
          <w:rStyle w:val="FootnoteReference"/>
          <w:sz w:val="18"/>
          <w:szCs w:val="18"/>
        </w:rPr>
        <w:footnoteRef/>
      </w:r>
      <w:r w:rsidRPr="00D41599">
        <w:rPr>
          <w:sz w:val="18"/>
          <w:szCs w:val="18"/>
        </w:rPr>
        <w:t xml:space="preserve"> </w:t>
      </w:r>
      <w:hyperlink r:id="rId5" w:history="1">
        <w:r w:rsidRPr="00D41599">
          <w:rPr>
            <w:rStyle w:val="Hyperlink"/>
            <w:sz w:val="18"/>
            <w:szCs w:val="18"/>
          </w:rPr>
          <w:t>https://www.accessdata.fda.gov/drugsatfda_docs/label/2020/210365s005s006s007lbl.pdf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8752352"/>
      <w:placeholder>
        <w:docPart w:val="815C715759984801A94CFC79EBD9AD89"/>
      </w:placeholder>
      <w:temporary/>
      <w:showingPlcHdr/>
      <w15:appearance w15:val="hidden"/>
    </w:sdtPr>
    <w:sdtEndPr/>
    <w:sdtContent>
      <w:p w14:paraId="22A19FAB" w14:textId="77777777" w:rsidR="007C5353" w:rsidRDefault="007C5353">
        <w:pPr>
          <w:pStyle w:val="Header"/>
        </w:pPr>
        <w:r>
          <w:t>[Type here]</w:t>
        </w:r>
      </w:p>
    </w:sdtContent>
  </w:sdt>
  <w:p w14:paraId="3A5D1FC9" w14:textId="77777777" w:rsidR="007C5353" w:rsidRDefault="007C53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4481B6" w14:textId="36788096" w:rsidR="007C5353" w:rsidRDefault="00D35F87">
    <w:pPr>
      <w:pStyle w:val="Header"/>
    </w:pPr>
    <w:r>
      <w:t>Version Date: August 12,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8A0010"/>
    <w:multiLevelType w:val="hybridMultilevel"/>
    <w:tmpl w:val="1EE8F45E"/>
    <w:lvl w:ilvl="0" w:tplc="60143C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F57"/>
    <w:rsid w:val="00000620"/>
    <w:rsid w:val="00066C0D"/>
    <w:rsid w:val="00075C77"/>
    <w:rsid w:val="000A7EC6"/>
    <w:rsid w:val="00145A4F"/>
    <w:rsid w:val="0015362A"/>
    <w:rsid w:val="00174077"/>
    <w:rsid w:val="00196DD7"/>
    <w:rsid w:val="001B5D78"/>
    <w:rsid w:val="001B767D"/>
    <w:rsid w:val="002270E3"/>
    <w:rsid w:val="00241428"/>
    <w:rsid w:val="0027303F"/>
    <w:rsid w:val="002F1812"/>
    <w:rsid w:val="0031020F"/>
    <w:rsid w:val="003F2523"/>
    <w:rsid w:val="00492035"/>
    <w:rsid w:val="004C4A70"/>
    <w:rsid w:val="00503CDE"/>
    <w:rsid w:val="005B3978"/>
    <w:rsid w:val="0061683F"/>
    <w:rsid w:val="006508F7"/>
    <w:rsid w:val="006550B9"/>
    <w:rsid w:val="006815F2"/>
    <w:rsid w:val="007109BD"/>
    <w:rsid w:val="00716C3E"/>
    <w:rsid w:val="00727E53"/>
    <w:rsid w:val="00731028"/>
    <w:rsid w:val="007361BD"/>
    <w:rsid w:val="00793646"/>
    <w:rsid w:val="007A04AE"/>
    <w:rsid w:val="007C5353"/>
    <w:rsid w:val="007D1EA0"/>
    <w:rsid w:val="00805641"/>
    <w:rsid w:val="00821A95"/>
    <w:rsid w:val="00822A15"/>
    <w:rsid w:val="008318D7"/>
    <w:rsid w:val="00850D98"/>
    <w:rsid w:val="008D0FA9"/>
    <w:rsid w:val="008F091B"/>
    <w:rsid w:val="00973563"/>
    <w:rsid w:val="009816C7"/>
    <w:rsid w:val="00A4549D"/>
    <w:rsid w:val="00B03F57"/>
    <w:rsid w:val="00BA4BAE"/>
    <w:rsid w:val="00C5169D"/>
    <w:rsid w:val="00CE310B"/>
    <w:rsid w:val="00D17419"/>
    <w:rsid w:val="00D25517"/>
    <w:rsid w:val="00D35F87"/>
    <w:rsid w:val="00D41599"/>
    <w:rsid w:val="00D76D08"/>
    <w:rsid w:val="00DD503F"/>
    <w:rsid w:val="00E35F25"/>
    <w:rsid w:val="00E413A2"/>
    <w:rsid w:val="00F40409"/>
    <w:rsid w:val="00F9178E"/>
    <w:rsid w:val="00F94724"/>
    <w:rsid w:val="00FB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472E7"/>
  <w15:chartTrackingRefBased/>
  <w15:docId w15:val="{1D0A5FF7-777B-4037-9DB2-96A8A43E5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3F57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80564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05641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7A04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04AE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397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397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397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03C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3C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3C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3C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3CD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CD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E310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C53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353"/>
  </w:style>
  <w:style w:type="paragraph" w:styleId="Footer">
    <w:name w:val="footer"/>
    <w:basedOn w:val="Normal"/>
    <w:link w:val="FooterChar"/>
    <w:uiPriority w:val="99"/>
    <w:unhideWhenUsed/>
    <w:rsid w:val="007C53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353"/>
  </w:style>
  <w:style w:type="character" w:styleId="PlaceholderText">
    <w:name w:val="Placeholder Text"/>
    <w:basedOn w:val="DefaultParagraphFont"/>
    <w:uiPriority w:val="99"/>
    <w:semiHidden/>
    <w:rsid w:val="007C53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21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nicaltrials.gov/ct2/show/NCT02544763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linicaltrials.gov/ct2/show/NCT02544750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aesnet.org/meetings_events/annual_meeting_abstracts/view/2421288" TargetMode="External"/><Relationship Id="rId2" Type="http://schemas.openxmlformats.org/officeDocument/2006/relationships/hyperlink" Target="https://doi.org/10.1111/j.1528-1167.2009.02474.x" TargetMode="External"/><Relationship Id="rId1" Type="http://schemas.openxmlformats.org/officeDocument/2006/relationships/hyperlink" Target="https://ghr.nlm.nih.gov/condition/tuberous-sclerosis-complex" TargetMode="External"/><Relationship Id="rId5" Type="http://schemas.openxmlformats.org/officeDocument/2006/relationships/hyperlink" Target="https://www.accessdata.fda.gov/drugsatfda_docs/label/2020/210365s005s006s007lbl.pdf" TargetMode="External"/><Relationship Id="rId4" Type="http://schemas.openxmlformats.org/officeDocument/2006/relationships/hyperlink" Target="http://n.neurology.org/content/94/15_Supplement/677.abstrac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15C715759984801A94CFC79EBD9A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298B1-E799-4864-818F-770FE6D3AA17}"/>
      </w:docPartPr>
      <w:docPartBody>
        <w:p w:rsidR="007C01A6" w:rsidRDefault="0035711F" w:rsidP="0035711F">
          <w:pPr>
            <w:pStyle w:val="815C715759984801A94CFC79EBD9AD89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11F"/>
    <w:rsid w:val="0035711F"/>
    <w:rsid w:val="007C01A6"/>
    <w:rsid w:val="00B41103"/>
    <w:rsid w:val="00BB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15C715759984801A94CFC79EBD9AD89">
    <w:name w:val="815C715759984801A94CFC79EBD9AD89"/>
    <w:rsid w:val="0035711F"/>
  </w:style>
  <w:style w:type="character" w:styleId="PlaceholderText">
    <w:name w:val="Placeholder Text"/>
    <w:basedOn w:val="DefaultParagraphFont"/>
    <w:uiPriority w:val="99"/>
    <w:semiHidden/>
    <w:rsid w:val="0035711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Chu10</b:Tag>
    <b:SourceType>JournalArticle</b:SourceType>
    <b:Guid>{2C76C3DC-C5E3-41B3-BF5D-2825681F60AC}</b:Guid>
    <b:Title>The natural history of epilepsy in tuberous sclerosis complex</b:Title>
    <b:Year>2010</b:Year>
    <b:Author>
      <b:Author>
        <b:NameList>
          <b:Person>
            <b:Last>Chu-Shore</b:Last>
            <b:First>Catherine</b:First>
            <b:Middle>J.</b:Middle>
          </b:Person>
        </b:NameList>
      </b:Author>
    </b:Author>
    <b:JournalName>Epilepsia</b:JournalName>
    <b:Pages>1236-1241</b:Pages>
    <b:Volume>51</b:Volume>
    <b:Issue>7</b:Issue>
    <b:DOI>10.1111/j.1528-1167.2009.02474.x</b:DOI>
    <b:RefOrder>1</b:RefOrder>
  </b:Source>
</b:Sources>
</file>

<file path=customXml/itemProps1.xml><?xml version="1.0" encoding="utf-8"?>
<ds:datastoreItem xmlns:ds="http://schemas.openxmlformats.org/officeDocument/2006/customXml" ds:itemID="{A10635E1-C258-4AF2-8F62-34B1EB5B0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Zoë Fuchs</dc:creator>
  <cp:keywords/>
  <dc:description/>
  <cp:lastModifiedBy>Zoë Fuchs</cp:lastModifiedBy>
  <cp:revision>16</cp:revision>
  <dcterms:created xsi:type="dcterms:W3CDTF">2020-08-12T21:05:00Z</dcterms:created>
  <dcterms:modified xsi:type="dcterms:W3CDTF">2020-08-14T16:55:00Z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736d7d36-ec87-336f-910b-72b253374b07</vt:lpwstr>
  </property>
  <property fmtid="{D5CDD505-2E9C-101B-9397-08002B2CF9AE}" pid="4" name="Mendeley Citation Style_1">
    <vt:lpwstr>http://www.zotero.org/styles/american-medical-association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10th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